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8AE63" w14:textId="77777777" w:rsidR="0044664C" w:rsidRPr="008F2DB7" w:rsidRDefault="00E719AE">
      <w:pPr>
        <w:spacing w:after="3" w:line="283" w:lineRule="auto"/>
        <w:ind w:left="8507" w:right="1372" w:firstLine="4"/>
        <w:jc w:val="left"/>
        <w:rPr>
          <w:sz w:val="24"/>
          <w:szCs w:val="24"/>
        </w:rPr>
      </w:pPr>
      <w:r w:rsidRPr="008F2DB7">
        <w:rPr>
          <w:sz w:val="24"/>
          <w:szCs w:val="24"/>
        </w:rPr>
        <w:t>Додаток 2</w:t>
      </w:r>
      <w:r w:rsidR="008F2DB7" w:rsidRPr="008F2DB7">
        <w:rPr>
          <w:sz w:val="24"/>
          <w:szCs w:val="24"/>
        </w:rPr>
        <w:br/>
      </w:r>
      <w:r w:rsidRPr="008F2DB7">
        <w:rPr>
          <w:sz w:val="24"/>
          <w:szCs w:val="24"/>
        </w:rPr>
        <w:t xml:space="preserve">до Положення про вимоги до структури </w:t>
      </w:r>
      <w:r w:rsidR="008F2DB7" w:rsidRPr="008F2DB7">
        <w:rPr>
          <w:sz w:val="24"/>
          <w:szCs w:val="24"/>
        </w:rPr>
        <w:br/>
      </w:r>
      <w:r w:rsidRPr="008F2DB7">
        <w:rPr>
          <w:sz w:val="24"/>
          <w:szCs w:val="24"/>
        </w:rPr>
        <w:t>власно</w:t>
      </w:r>
      <w:r w:rsidR="008F2DB7" w:rsidRPr="008F2DB7">
        <w:rPr>
          <w:sz w:val="24"/>
          <w:szCs w:val="24"/>
        </w:rPr>
        <w:t>сті надавачів фінансових послуг</w:t>
      </w:r>
    </w:p>
    <w:p w14:paraId="42F70280" w14:textId="77777777" w:rsidR="0044664C" w:rsidRPr="008F2DB7" w:rsidRDefault="00E719AE" w:rsidP="008F2DB7">
      <w:pPr>
        <w:spacing w:after="35"/>
        <w:ind w:left="8517" w:right="325"/>
        <w:jc w:val="left"/>
        <w:rPr>
          <w:sz w:val="24"/>
          <w:szCs w:val="24"/>
        </w:rPr>
      </w:pPr>
      <w:r w:rsidRPr="008F2DB7">
        <w:rPr>
          <w:sz w:val="24"/>
          <w:szCs w:val="24"/>
        </w:rPr>
        <w:t>(у редакції постанови Правління</w:t>
      </w:r>
      <w:r w:rsidR="008F2DB7" w:rsidRPr="008F2DB7">
        <w:rPr>
          <w:sz w:val="24"/>
          <w:szCs w:val="24"/>
        </w:rPr>
        <w:br/>
        <w:t>Національного банку України</w:t>
      </w:r>
    </w:p>
    <w:p w14:paraId="1927CFFB" w14:textId="77777777" w:rsidR="0044664C" w:rsidRPr="008F2DB7" w:rsidRDefault="00E719AE" w:rsidP="008F2DB7">
      <w:pPr>
        <w:spacing w:after="3" w:line="270" w:lineRule="auto"/>
        <w:ind w:left="8505" w:right="2502"/>
        <w:jc w:val="left"/>
        <w:rPr>
          <w:sz w:val="24"/>
          <w:szCs w:val="24"/>
        </w:rPr>
      </w:pPr>
      <w:r w:rsidRPr="008F2DB7">
        <w:rPr>
          <w:sz w:val="24"/>
          <w:szCs w:val="24"/>
        </w:rPr>
        <w:t>від 31 березня 2023 року № 42</w:t>
      </w:r>
    </w:p>
    <w:p w14:paraId="27627DBE" w14:textId="77777777" w:rsidR="0044664C" w:rsidRPr="008F2DB7" w:rsidRDefault="00E719AE">
      <w:pPr>
        <w:spacing w:after="276"/>
        <w:ind w:left="8517"/>
        <w:rPr>
          <w:sz w:val="24"/>
          <w:szCs w:val="24"/>
        </w:rPr>
      </w:pPr>
      <w:r w:rsidRPr="008F2DB7">
        <w:rPr>
          <w:sz w:val="24"/>
          <w:szCs w:val="24"/>
        </w:rPr>
        <w:t>(п</w:t>
      </w:r>
      <w:r w:rsidR="008F2DB7" w:rsidRPr="008F2DB7">
        <w:rPr>
          <w:sz w:val="24"/>
          <w:szCs w:val="24"/>
        </w:rPr>
        <w:t>ідпункт 2 пункту 34 розділу IV)</w:t>
      </w:r>
    </w:p>
    <w:p w14:paraId="087EA649" w14:textId="72EEA887" w:rsidR="0044664C" w:rsidRPr="008F2DB7" w:rsidRDefault="008F2DB7" w:rsidP="008F2DB7">
      <w:pPr>
        <w:spacing w:after="55" w:line="269" w:lineRule="auto"/>
        <w:ind w:left="148" w:right="212"/>
        <w:jc w:val="center"/>
        <w:rPr>
          <w:b/>
        </w:rPr>
      </w:pPr>
      <w:r w:rsidRPr="008F2DB7">
        <w:rPr>
          <w:b/>
        </w:rPr>
        <w:t>Відомості</w:t>
      </w:r>
      <w:r w:rsidRPr="008F2DB7">
        <w:rPr>
          <w:b/>
        </w:rPr>
        <w:br/>
      </w:r>
      <w:r w:rsidR="00E719AE" w:rsidRPr="008F2DB7">
        <w:rPr>
          <w:b/>
        </w:rPr>
        <w:t>про остаточних ключових учасників у структурі власності юридичної особи</w:t>
      </w:r>
      <w:r w:rsidRPr="008F2DB7">
        <w:rPr>
          <w:b/>
        </w:rPr>
        <w:br/>
      </w:r>
      <w:r w:rsidR="00E719AE" w:rsidRPr="008F2DB7">
        <w:rPr>
          <w:b/>
        </w:rPr>
        <w:t>станом н</w:t>
      </w:r>
      <w:r>
        <w:rPr>
          <w:b/>
        </w:rPr>
        <w:t xml:space="preserve">а </w:t>
      </w:r>
      <w:r w:rsidR="00F83AE7">
        <w:rPr>
          <w:b/>
        </w:rPr>
        <w:t>20</w:t>
      </w:r>
      <w:r w:rsidR="00BE7D8B">
        <w:rPr>
          <w:b/>
        </w:rPr>
        <w:t>.0</w:t>
      </w:r>
      <w:r w:rsidR="00F83AE7">
        <w:rPr>
          <w:b/>
        </w:rPr>
        <w:t>3</w:t>
      </w:r>
      <w:r w:rsidR="006B07E9">
        <w:rPr>
          <w:b/>
        </w:rPr>
        <w:t>.2025</w:t>
      </w:r>
      <w:r>
        <w:rPr>
          <w:b/>
        </w:rPr>
        <w:t xml:space="preserve"> року</w:t>
      </w:r>
    </w:p>
    <w:p w14:paraId="7DBE0433" w14:textId="77777777" w:rsidR="0044664C" w:rsidRPr="008F2DB7" w:rsidRDefault="006B07E9" w:rsidP="00F83AE7">
      <w:pPr>
        <w:spacing w:after="36"/>
        <w:ind w:left="-5"/>
        <w:jc w:val="center"/>
        <w:rPr>
          <w:sz w:val="24"/>
          <w:szCs w:val="24"/>
        </w:rPr>
      </w:pPr>
      <w:r w:rsidRPr="00F83AE7">
        <w:rPr>
          <w:b/>
          <w:bCs/>
          <w:sz w:val="24"/>
          <w:szCs w:val="24"/>
          <w:u w:val="single"/>
        </w:rPr>
        <w:t>Приватне акціонерне товариство «Страхова компанія «Євроінс Україна»</w:t>
      </w:r>
      <w:r w:rsidR="006C3E10" w:rsidRPr="00F83AE7">
        <w:rPr>
          <w:b/>
          <w:bCs/>
          <w:sz w:val="24"/>
          <w:szCs w:val="24"/>
          <w:u w:val="single"/>
        </w:rPr>
        <w:t>,</w:t>
      </w:r>
      <w:r w:rsidRPr="006B07E9">
        <w:rPr>
          <w:sz w:val="24"/>
          <w:szCs w:val="24"/>
        </w:rPr>
        <w:t xml:space="preserve"> </w:t>
      </w:r>
      <w:r w:rsidR="00E719AE" w:rsidRPr="008F2DB7">
        <w:rPr>
          <w:sz w:val="24"/>
          <w:szCs w:val="24"/>
        </w:rPr>
        <w:t xml:space="preserve"> (далі </w:t>
      </w:r>
      <w:r w:rsidR="008F2DB7" w:rsidRPr="008F2DB7">
        <w:rPr>
          <w:sz w:val="24"/>
          <w:szCs w:val="24"/>
        </w:rPr>
        <w:t>- юридична особа)</w:t>
      </w:r>
    </w:p>
    <w:p w14:paraId="7DB415E1" w14:textId="77777777" w:rsidR="0044664C" w:rsidRPr="008F2DB7" w:rsidRDefault="00E719AE" w:rsidP="00F20A89">
      <w:pPr>
        <w:spacing w:after="67" w:line="259" w:lineRule="auto"/>
        <w:ind w:left="0" w:firstLine="0"/>
        <w:jc w:val="center"/>
        <w:rPr>
          <w:sz w:val="24"/>
          <w:szCs w:val="24"/>
        </w:rPr>
      </w:pPr>
      <w:r w:rsidRPr="008F2DB7">
        <w:rPr>
          <w:sz w:val="24"/>
          <w:szCs w:val="24"/>
        </w:rPr>
        <w:t>І. Інформація про</w:t>
      </w:r>
      <w:r w:rsidR="008F2DB7">
        <w:rPr>
          <w:sz w:val="24"/>
          <w:szCs w:val="24"/>
        </w:rPr>
        <w:t xml:space="preserve"> остаточного ключового учасника</w:t>
      </w:r>
    </w:p>
    <w:p w14:paraId="00B85499" w14:textId="77777777" w:rsidR="0044664C" w:rsidRPr="008F2DB7" w:rsidRDefault="008F2DB7">
      <w:pPr>
        <w:spacing w:after="3" w:line="270" w:lineRule="auto"/>
        <w:ind w:left="10" w:right="56"/>
        <w:jc w:val="right"/>
        <w:rPr>
          <w:sz w:val="24"/>
          <w:szCs w:val="24"/>
        </w:rPr>
      </w:pPr>
      <w:r>
        <w:rPr>
          <w:sz w:val="24"/>
          <w:szCs w:val="24"/>
        </w:rPr>
        <w:t>Таблиця 1</w:t>
      </w:r>
    </w:p>
    <w:p w14:paraId="3A922ECD" w14:textId="77777777" w:rsidR="0044664C" w:rsidRDefault="00E719AE">
      <w:pPr>
        <w:spacing w:after="0" w:line="259" w:lineRule="auto"/>
        <w:ind w:left="0" w:right="10" w:firstLine="0"/>
        <w:jc w:val="right"/>
      </w:pPr>
      <w:r>
        <w:rPr>
          <w:sz w:val="24"/>
        </w:rPr>
        <w:t xml:space="preserve"> </w:t>
      </w:r>
    </w:p>
    <w:tbl>
      <w:tblPr>
        <w:tblStyle w:val="TableGrid"/>
        <w:tblW w:w="20166" w:type="dxa"/>
        <w:tblInd w:w="-25" w:type="dxa"/>
        <w:tblCellMar>
          <w:top w:w="11" w:type="dxa"/>
          <w:left w:w="127" w:type="dxa"/>
          <w:right w:w="59" w:type="dxa"/>
        </w:tblCellMar>
        <w:tblLook w:val="04A0" w:firstRow="1" w:lastRow="0" w:firstColumn="1" w:lastColumn="0" w:noHBand="0" w:noVBand="1"/>
      </w:tblPr>
      <w:tblGrid>
        <w:gridCol w:w="555"/>
        <w:gridCol w:w="2004"/>
        <w:gridCol w:w="940"/>
        <w:gridCol w:w="1323"/>
        <w:gridCol w:w="2318"/>
        <w:gridCol w:w="1060"/>
        <w:gridCol w:w="1906"/>
        <w:gridCol w:w="1551"/>
        <w:gridCol w:w="3237"/>
        <w:gridCol w:w="2636"/>
        <w:gridCol w:w="2636"/>
      </w:tblGrid>
      <w:tr w:rsidR="006C3E10" w:rsidRPr="008F2DB7" w14:paraId="595C8409" w14:textId="77777777" w:rsidTr="006C3E10">
        <w:trPr>
          <w:gridAfter w:val="2"/>
          <w:wAfter w:w="5350" w:type="dxa"/>
          <w:trHeight w:val="852"/>
        </w:trPr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A3150" w14:textId="77777777" w:rsidR="0044664C" w:rsidRPr="008F2DB7" w:rsidRDefault="00E719AE">
            <w:pPr>
              <w:spacing w:after="16" w:line="259" w:lineRule="auto"/>
              <w:ind w:left="34" w:firstLine="0"/>
              <w:rPr>
                <w:sz w:val="24"/>
                <w:szCs w:val="24"/>
              </w:rPr>
            </w:pPr>
            <w:r w:rsidRPr="008F2DB7">
              <w:rPr>
                <w:sz w:val="24"/>
                <w:szCs w:val="24"/>
              </w:rPr>
              <w:t>№</w:t>
            </w:r>
          </w:p>
          <w:p w14:paraId="28E289E7" w14:textId="77777777" w:rsidR="0044664C" w:rsidRPr="008F2DB7" w:rsidRDefault="00E719A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8F2DB7">
              <w:rPr>
                <w:sz w:val="24"/>
                <w:szCs w:val="24"/>
              </w:rPr>
              <w:t xml:space="preserve">з/п </w:t>
            </w:r>
          </w:p>
        </w:tc>
        <w:tc>
          <w:tcPr>
            <w:tcW w:w="2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13378" w14:textId="77777777" w:rsidR="0044664C" w:rsidRPr="008F2DB7" w:rsidRDefault="00E719AE" w:rsidP="008F2DB7">
            <w:pPr>
              <w:spacing w:after="0" w:line="237" w:lineRule="auto"/>
              <w:ind w:left="0" w:firstLine="0"/>
              <w:jc w:val="center"/>
              <w:rPr>
                <w:sz w:val="24"/>
                <w:szCs w:val="24"/>
              </w:rPr>
            </w:pPr>
            <w:r w:rsidRPr="008F2DB7">
              <w:rPr>
                <w:sz w:val="24"/>
                <w:szCs w:val="24"/>
              </w:rPr>
              <w:t xml:space="preserve">Прізвище, власне ім’я та по батькові або повне найменування остаточного ключового учасника </w:t>
            </w:r>
          </w:p>
        </w:tc>
        <w:tc>
          <w:tcPr>
            <w:tcW w:w="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04030" w14:textId="77777777" w:rsidR="0044664C" w:rsidRPr="008F2DB7" w:rsidRDefault="00E719AE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8F2DB7">
              <w:rPr>
                <w:sz w:val="24"/>
                <w:szCs w:val="24"/>
              </w:rPr>
              <w:t xml:space="preserve">Тип особи </w:t>
            </w:r>
          </w:p>
        </w:tc>
        <w:tc>
          <w:tcPr>
            <w:tcW w:w="1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B30C1" w14:textId="77777777" w:rsidR="0044664C" w:rsidRPr="008F2DB7" w:rsidRDefault="00E719AE" w:rsidP="008F2DB7">
            <w:pPr>
              <w:spacing w:after="0" w:line="238" w:lineRule="auto"/>
              <w:ind w:left="0" w:firstLine="0"/>
              <w:jc w:val="center"/>
              <w:rPr>
                <w:sz w:val="24"/>
                <w:szCs w:val="24"/>
              </w:rPr>
            </w:pPr>
            <w:r w:rsidRPr="008F2DB7">
              <w:rPr>
                <w:sz w:val="24"/>
                <w:szCs w:val="24"/>
              </w:rPr>
              <w:t xml:space="preserve">Чи є особа власником істотної участі в юридичній особі </w:t>
            </w:r>
          </w:p>
        </w:tc>
        <w:tc>
          <w:tcPr>
            <w:tcW w:w="2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223F" w14:textId="77777777" w:rsidR="0044664C" w:rsidRPr="008F2DB7" w:rsidRDefault="00E719AE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8F2DB7">
              <w:rPr>
                <w:sz w:val="24"/>
                <w:szCs w:val="24"/>
              </w:rPr>
              <w:t xml:space="preserve">Інформація про особу </w:t>
            </w:r>
          </w:p>
        </w:tc>
        <w:tc>
          <w:tcPr>
            <w:tcW w:w="4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0A554" w14:textId="77777777" w:rsidR="0044664C" w:rsidRPr="008F2DB7" w:rsidRDefault="00E719AE" w:rsidP="00D02780">
            <w:pPr>
              <w:spacing w:after="0" w:line="259" w:lineRule="auto"/>
              <w:ind w:left="77" w:firstLine="0"/>
              <w:jc w:val="center"/>
              <w:rPr>
                <w:sz w:val="24"/>
                <w:szCs w:val="24"/>
              </w:rPr>
            </w:pPr>
            <w:r w:rsidRPr="008F2DB7">
              <w:rPr>
                <w:sz w:val="24"/>
                <w:szCs w:val="24"/>
              </w:rPr>
              <w:t>Участь особи в юридичній особі, %</w:t>
            </w:r>
          </w:p>
        </w:tc>
        <w:tc>
          <w:tcPr>
            <w:tcW w:w="3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34435" w14:textId="77777777" w:rsidR="0044664C" w:rsidRPr="008F2DB7" w:rsidRDefault="00E719AE" w:rsidP="00D02780">
            <w:pPr>
              <w:spacing w:after="0" w:line="259" w:lineRule="auto"/>
              <w:ind w:left="0" w:right="-45" w:firstLine="0"/>
              <w:jc w:val="center"/>
              <w:rPr>
                <w:sz w:val="24"/>
                <w:szCs w:val="24"/>
              </w:rPr>
            </w:pPr>
            <w:r w:rsidRPr="008F2DB7">
              <w:rPr>
                <w:sz w:val="24"/>
                <w:szCs w:val="24"/>
              </w:rPr>
              <w:t xml:space="preserve">Опис взаємозв’язку особи з юридичною особою </w:t>
            </w:r>
          </w:p>
        </w:tc>
      </w:tr>
      <w:tr w:rsidR="006C3E10" w:rsidRPr="008F2DB7" w14:paraId="4A9CCC41" w14:textId="77777777" w:rsidTr="006C3E10">
        <w:trPr>
          <w:gridAfter w:val="2"/>
          <w:wAfter w:w="5350" w:type="dxa"/>
          <w:trHeight w:val="11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244DB" w14:textId="77777777" w:rsidR="0044664C" w:rsidRPr="008F2DB7" w:rsidRDefault="0044664C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85B81" w14:textId="77777777" w:rsidR="0044664C" w:rsidRPr="008F2DB7" w:rsidRDefault="0044664C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B2474" w14:textId="77777777" w:rsidR="0044664C" w:rsidRPr="008F2DB7" w:rsidRDefault="0044664C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3FA6" w14:textId="77777777" w:rsidR="0044664C" w:rsidRPr="008F2DB7" w:rsidRDefault="0044664C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950E" w14:textId="77777777" w:rsidR="0044664C" w:rsidRPr="008F2DB7" w:rsidRDefault="0044664C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2F414" w14:textId="77777777" w:rsidR="0044664C" w:rsidRPr="008F2DB7" w:rsidRDefault="00E719AE">
            <w:pPr>
              <w:spacing w:after="0" w:line="259" w:lineRule="auto"/>
              <w:ind w:left="24" w:firstLine="0"/>
              <w:jc w:val="left"/>
              <w:rPr>
                <w:sz w:val="24"/>
                <w:szCs w:val="24"/>
              </w:rPr>
            </w:pPr>
            <w:r w:rsidRPr="008F2DB7">
              <w:rPr>
                <w:sz w:val="24"/>
                <w:szCs w:val="24"/>
              </w:rPr>
              <w:t xml:space="preserve">пряма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A93BC" w14:textId="77777777" w:rsidR="0044664C" w:rsidRPr="008F2DB7" w:rsidRDefault="00E719AE">
            <w:pPr>
              <w:spacing w:after="0" w:line="259" w:lineRule="auto"/>
              <w:ind w:left="98" w:firstLine="0"/>
              <w:jc w:val="left"/>
              <w:rPr>
                <w:sz w:val="24"/>
                <w:szCs w:val="24"/>
              </w:rPr>
            </w:pPr>
            <w:r w:rsidRPr="008F2DB7">
              <w:rPr>
                <w:sz w:val="24"/>
                <w:szCs w:val="24"/>
              </w:rPr>
              <w:t xml:space="preserve">опосередкована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25F81" w14:textId="77777777" w:rsidR="0044664C" w:rsidRPr="008F2DB7" w:rsidRDefault="00E719AE">
            <w:pPr>
              <w:spacing w:after="0" w:line="259" w:lineRule="auto"/>
              <w:ind w:left="38" w:firstLine="0"/>
              <w:jc w:val="left"/>
              <w:rPr>
                <w:sz w:val="24"/>
                <w:szCs w:val="24"/>
              </w:rPr>
            </w:pPr>
            <w:r w:rsidRPr="008F2DB7">
              <w:rPr>
                <w:sz w:val="24"/>
                <w:szCs w:val="24"/>
              </w:rPr>
              <w:t xml:space="preserve">сукупна </w:t>
            </w:r>
          </w:p>
        </w:tc>
        <w:tc>
          <w:tcPr>
            <w:tcW w:w="3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680ED" w14:textId="77777777" w:rsidR="0044664C" w:rsidRPr="008F2DB7" w:rsidRDefault="0044664C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6C3E10" w:rsidRPr="008F2DB7" w14:paraId="6319CD4B" w14:textId="77777777" w:rsidTr="006C3E10">
        <w:trPr>
          <w:gridAfter w:val="2"/>
          <w:wAfter w:w="5350" w:type="dxa"/>
          <w:trHeight w:val="33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4BEC1" w14:textId="77777777" w:rsidR="0044664C" w:rsidRPr="008F2DB7" w:rsidRDefault="00E719AE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8F2DB7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6EB45" w14:textId="77777777" w:rsidR="0044664C" w:rsidRPr="008F2DB7" w:rsidRDefault="00E719AE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 w:rsidRPr="008F2DB7">
              <w:rPr>
                <w:sz w:val="24"/>
                <w:szCs w:val="24"/>
              </w:rPr>
              <w:t xml:space="preserve">2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CAB55" w14:textId="77777777" w:rsidR="0044664C" w:rsidRPr="008F2DB7" w:rsidRDefault="00E719AE">
            <w:pPr>
              <w:spacing w:after="0" w:line="259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8F2DB7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999F" w14:textId="77777777" w:rsidR="0044664C" w:rsidRPr="008F2DB7" w:rsidRDefault="00E719AE">
            <w:pPr>
              <w:spacing w:after="0" w:line="259" w:lineRule="auto"/>
              <w:ind w:left="0" w:right="69" w:firstLine="0"/>
              <w:jc w:val="center"/>
              <w:rPr>
                <w:sz w:val="24"/>
                <w:szCs w:val="24"/>
              </w:rPr>
            </w:pPr>
            <w:r w:rsidRPr="008F2DB7">
              <w:rPr>
                <w:sz w:val="24"/>
                <w:szCs w:val="24"/>
              </w:rPr>
              <w:t xml:space="preserve">4 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33603" w14:textId="77777777" w:rsidR="0044664C" w:rsidRPr="008F2DB7" w:rsidRDefault="00E719AE">
            <w:pPr>
              <w:spacing w:after="0" w:line="259" w:lineRule="auto"/>
              <w:ind w:left="0" w:right="69" w:firstLine="0"/>
              <w:jc w:val="center"/>
              <w:rPr>
                <w:sz w:val="24"/>
                <w:szCs w:val="24"/>
              </w:rPr>
            </w:pPr>
            <w:r w:rsidRPr="008F2DB7">
              <w:rPr>
                <w:sz w:val="24"/>
                <w:szCs w:val="24"/>
              </w:rPr>
              <w:t xml:space="preserve">5 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BF559" w14:textId="77777777" w:rsidR="0044664C" w:rsidRPr="008F2DB7" w:rsidRDefault="00E719AE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8F2DB7">
              <w:rPr>
                <w:sz w:val="24"/>
                <w:szCs w:val="24"/>
              </w:rPr>
              <w:t xml:space="preserve">6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00C29" w14:textId="77777777" w:rsidR="0044664C" w:rsidRPr="008F2DB7" w:rsidRDefault="00E719AE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8F2DB7">
              <w:rPr>
                <w:sz w:val="24"/>
                <w:szCs w:val="24"/>
              </w:rPr>
              <w:t xml:space="preserve">7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F368C" w14:textId="77777777" w:rsidR="0044664C" w:rsidRPr="008F2DB7" w:rsidRDefault="00E719AE">
            <w:pPr>
              <w:spacing w:after="0" w:line="259" w:lineRule="auto"/>
              <w:ind w:left="0" w:right="69" w:firstLine="0"/>
              <w:jc w:val="center"/>
              <w:rPr>
                <w:sz w:val="24"/>
                <w:szCs w:val="24"/>
              </w:rPr>
            </w:pPr>
            <w:r w:rsidRPr="008F2DB7">
              <w:rPr>
                <w:sz w:val="24"/>
                <w:szCs w:val="24"/>
              </w:rPr>
              <w:t xml:space="preserve">8 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C4E6F" w14:textId="77777777" w:rsidR="0044664C" w:rsidRPr="008F2DB7" w:rsidRDefault="00E719AE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8F2DB7">
              <w:rPr>
                <w:sz w:val="24"/>
                <w:szCs w:val="24"/>
              </w:rPr>
              <w:t xml:space="preserve">9 </w:t>
            </w:r>
          </w:p>
        </w:tc>
      </w:tr>
      <w:tr w:rsidR="006C3E10" w:rsidRPr="00AF51F0" w14:paraId="1D5F3E36" w14:textId="77777777" w:rsidTr="006C3E10">
        <w:trPr>
          <w:gridAfter w:val="2"/>
          <w:wAfter w:w="5350" w:type="dxa"/>
          <w:trHeight w:val="33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58F55" w14:textId="77777777" w:rsidR="006B07E9" w:rsidRPr="00BE7D8B" w:rsidRDefault="006B07E9" w:rsidP="006B07E9">
            <w:pPr>
              <w:spacing w:after="0" w:line="259" w:lineRule="auto"/>
              <w:ind w:left="0" w:right="71" w:firstLine="0"/>
              <w:jc w:val="center"/>
              <w:rPr>
                <w:sz w:val="20"/>
                <w:szCs w:val="20"/>
              </w:rPr>
            </w:pPr>
            <w:r w:rsidRPr="00BE7D8B">
              <w:rPr>
                <w:sz w:val="20"/>
                <w:szCs w:val="20"/>
              </w:rPr>
              <w:t>1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8AEF5" w14:textId="77777777" w:rsidR="006B07E9" w:rsidRPr="00BE7D8B" w:rsidRDefault="006B07E9" w:rsidP="006B07E9">
            <w:pPr>
              <w:spacing w:after="0" w:line="259" w:lineRule="auto"/>
              <w:ind w:left="0" w:right="71" w:firstLine="0"/>
              <w:jc w:val="center"/>
              <w:rPr>
                <w:sz w:val="20"/>
                <w:szCs w:val="20"/>
              </w:rPr>
            </w:pPr>
            <w:r w:rsidRPr="00BE7D8B">
              <w:rPr>
                <w:sz w:val="20"/>
                <w:szCs w:val="20"/>
              </w:rPr>
              <w:t>«</w:t>
            </w:r>
            <w:proofErr w:type="spellStart"/>
            <w:r w:rsidRPr="00BE7D8B">
              <w:rPr>
                <w:sz w:val="20"/>
                <w:szCs w:val="20"/>
              </w:rPr>
              <w:t>Єврохолд</w:t>
            </w:r>
            <w:proofErr w:type="spellEnd"/>
            <w:r w:rsidRPr="00BE7D8B">
              <w:rPr>
                <w:sz w:val="20"/>
                <w:szCs w:val="20"/>
              </w:rPr>
              <w:t xml:space="preserve"> Болгарія» АД (</w:t>
            </w:r>
            <w:proofErr w:type="spellStart"/>
            <w:r w:rsidRPr="00BE7D8B">
              <w:rPr>
                <w:sz w:val="20"/>
                <w:szCs w:val="20"/>
              </w:rPr>
              <w:t>Eurohold</w:t>
            </w:r>
            <w:proofErr w:type="spellEnd"/>
            <w:r w:rsidRPr="00BE7D8B">
              <w:rPr>
                <w:sz w:val="20"/>
                <w:szCs w:val="20"/>
              </w:rPr>
              <w:t xml:space="preserve"> </w:t>
            </w:r>
            <w:proofErr w:type="spellStart"/>
            <w:r w:rsidRPr="00BE7D8B">
              <w:rPr>
                <w:sz w:val="20"/>
                <w:szCs w:val="20"/>
              </w:rPr>
              <w:t>Bulgaria</w:t>
            </w:r>
            <w:proofErr w:type="spellEnd"/>
            <w:r w:rsidRPr="00BE7D8B">
              <w:rPr>
                <w:sz w:val="20"/>
                <w:szCs w:val="20"/>
              </w:rPr>
              <w:t xml:space="preserve"> SA) 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CC93D" w14:textId="77777777" w:rsidR="006B07E9" w:rsidRPr="00BE7D8B" w:rsidRDefault="006B07E9" w:rsidP="006B07E9">
            <w:pPr>
              <w:spacing w:after="0" w:line="259" w:lineRule="auto"/>
              <w:ind w:left="0" w:right="70" w:firstLine="0"/>
              <w:jc w:val="center"/>
              <w:rPr>
                <w:sz w:val="20"/>
                <w:szCs w:val="20"/>
              </w:rPr>
            </w:pPr>
            <w:r w:rsidRPr="00BE7D8B">
              <w:rPr>
                <w:sz w:val="20"/>
                <w:szCs w:val="20"/>
              </w:rPr>
              <w:t>ПК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11A02" w14:textId="77777777" w:rsidR="006B07E9" w:rsidRPr="00BE7D8B" w:rsidRDefault="006B07E9" w:rsidP="006B07E9">
            <w:pPr>
              <w:spacing w:after="0" w:line="259" w:lineRule="auto"/>
              <w:ind w:left="0" w:right="69" w:firstLine="0"/>
              <w:jc w:val="center"/>
              <w:rPr>
                <w:sz w:val="20"/>
                <w:szCs w:val="20"/>
              </w:rPr>
            </w:pPr>
            <w:r w:rsidRPr="00BE7D8B">
              <w:rPr>
                <w:sz w:val="20"/>
                <w:szCs w:val="20"/>
              </w:rPr>
              <w:t>Так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F60F8" w14:textId="77777777" w:rsidR="006B07E9" w:rsidRPr="00BE7D8B" w:rsidRDefault="006B07E9" w:rsidP="006B07E9">
            <w:pPr>
              <w:spacing w:after="0" w:line="259" w:lineRule="auto"/>
              <w:ind w:left="77" w:firstLine="0"/>
              <w:jc w:val="center"/>
              <w:rPr>
                <w:sz w:val="20"/>
                <w:szCs w:val="20"/>
              </w:rPr>
            </w:pPr>
            <w:r w:rsidRPr="00BE7D8B">
              <w:rPr>
                <w:sz w:val="20"/>
                <w:szCs w:val="20"/>
              </w:rPr>
              <w:t>Болгарія (</w:t>
            </w:r>
            <w:proofErr w:type="spellStart"/>
            <w:r w:rsidRPr="00BE7D8B">
              <w:rPr>
                <w:sz w:val="20"/>
                <w:szCs w:val="20"/>
              </w:rPr>
              <w:t>Bulgaria</w:t>
            </w:r>
            <w:proofErr w:type="spellEnd"/>
            <w:r w:rsidRPr="00BE7D8B">
              <w:rPr>
                <w:sz w:val="20"/>
                <w:szCs w:val="20"/>
              </w:rPr>
              <w:t xml:space="preserve">)   </w:t>
            </w:r>
            <w:proofErr w:type="spellStart"/>
            <w:r w:rsidRPr="00BE7D8B">
              <w:rPr>
                <w:sz w:val="20"/>
                <w:szCs w:val="20"/>
              </w:rPr>
              <w:t>Бул</w:t>
            </w:r>
            <w:proofErr w:type="spellEnd"/>
            <w:r w:rsidRPr="00BE7D8B">
              <w:rPr>
                <w:sz w:val="20"/>
                <w:szCs w:val="20"/>
              </w:rPr>
              <w:t xml:space="preserve">. Христофор Колумб, 43, м. Софія, </w:t>
            </w:r>
            <w:proofErr w:type="spellStart"/>
            <w:r w:rsidRPr="00BE7D8B">
              <w:rPr>
                <w:sz w:val="20"/>
                <w:szCs w:val="20"/>
              </w:rPr>
              <w:t>Boulevard</w:t>
            </w:r>
            <w:proofErr w:type="spellEnd"/>
            <w:r w:rsidRPr="00BE7D8B">
              <w:rPr>
                <w:sz w:val="20"/>
                <w:szCs w:val="20"/>
              </w:rPr>
              <w:t xml:space="preserve"> </w:t>
            </w:r>
            <w:proofErr w:type="spellStart"/>
            <w:r w:rsidRPr="00BE7D8B">
              <w:rPr>
                <w:sz w:val="20"/>
                <w:szCs w:val="20"/>
              </w:rPr>
              <w:t>Christopher</w:t>
            </w:r>
            <w:proofErr w:type="spellEnd"/>
            <w:r w:rsidRPr="00BE7D8B">
              <w:rPr>
                <w:sz w:val="20"/>
                <w:szCs w:val="20"/>
              </w:rPr>
              <w:t xml:space="preserve"> </w:t>
            </w:r>
            <w:proofErr w:type="spellStart"/>
            <w:r w:rsidRPr="00BE7D8B">
              <w:rPr>
                <w:sz w:val="20"/>
                <w:szCs w:val="20"/>
              </w:rPr>
              <w:t>Columbus</w:t>
            </w:r>
            <w:proofErr w:type="spellEnd"/>
            <w:r w:rsidRPr="00BE7D8B">
              <w:rPr>
                <w:sz w:val="20"/>
                <w:szCs w:val="20"/>
              </w:rPr>
              <w:t xml:space="preserve">, 43, </w:t>
            </w:r>
            <w:proofErr w:type="spellStart"/>
            <w:r w:rsidRPr="00BE7D8B">
              <w:rPr>
                <w:sz w:val="20"/>
                <w:szCs w:val="20"/>
              </w:rPr>
              <w:t>Sofia</w:t>
            </w:r>
            <w:proofErr w:type="spellEnd"/>
            <w:r w:rsidRPr="00BE7D8B">
              <w:rPr>
                <w:sz w:val="20"/>
                <w:szCs w:val="20"/>
              </w:rPr>
              <w:t xml:space="preserve">           UIC 175187337  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7E44F" w14:textId="77777777" w:rsidR="006B07E9" w:rsidRPr="00BE7D8B" w:rsidRDefault="006B07E9" w:rsidP="006B07E9">
            <w:pPr>
              <w:spacing w:after="0" w:line="259" w:lineRule="auto"/>
              <w:ind w:left="80" w:firstLine="0"/>
              <w:jc w:val="center"/>
              <w:rPr>
                <w:sz w:val="20"/>
                <w:szCs w:val="20"/>
              </w:rPr>
            </w:pPr>
            <w:r w:rsidRPr="00BE7D8B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E78DA" w14:textId="77777777" w:rsidR="006B07E9" w:rsidRPr="00BE7D8B" w:rsidRDefault="00AF51F0" w:rsidP="006B07E9">
            <w:pPr>
              <w:spacing w:after="0" w:line="259" w:lineRule="auto"/>
              <w:ind w:left="0" w:right="67" w:firstLine="0"/>
              <w:jc w:val="center"/>
              <w:rPr>
                <w:sz w:val="20"/>
                <w:szCs w:val="20"/>
              </w:rPr>
            </w:pPr>
            <w:r w:rsidRPr="00BE7D8B">
              <w:rPr>
                <w:sz w:val="20"/>
                <w:szCs w:val="20"/>
              </w:rPr>
              <w:t>99,033011</w:t>
            </w:r>
            <w:r w:rsidR="006B07E9" w:rsidRPr="00BE7D8B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07FC" w14:textId="77777777" w:rsidR="006B07E9" w:rsidRPr="00BE7D8B" w:rsidRDefault="00AF51F0" w:rsidP="006B07E9">
            <w:pPr>
              <w:spacing w:after="0" w:line="259" w:lineRule="auto"/>
              <w:ind w:left="0" w:right="69" w:firstLine="0"/>
              <w:jc w:val="center"/>
              <w:rPr>
                <w:sz w:val="20"/>
                <w:szCs w:val="20"/>
              </w:rPr>
            </w:pPr>
            <w:r w:rsidRPr="00BE7D8B">
              <w:rPr>
                <w:sz w:val="20"/>
                <w:szCs w:val="20"/>
              </w:rPr>
              <w:t xml:space="preserve">99,033011  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1F848" w14:textId="77777777" w:rsidR="00BE7D8B" w:rsidRPr="00AF3DD0" w:rsidRDefault="00BE7D8B" w:rsidP="00BE7D8B">
            <w:pPr>
              <w:spacing w:after="0" w:line="259" w:lineRule="auto"/>
              <w:ind w:left="0" w:right="67" w:firstLine="0"/>
              <w:rPr>
                <w:sz w:val="20"/>
                <w:szCs w:val="20"/>
              </w:rPr>
            </w:pPr>
            <w:r w:rsidRPr="00AF3DD0">
              <w:rPr>
                <w:sz w:val="20"/>
                <w:szCs w:val="20"/>
              </w:rPr>
              <w:t>"</w:t>
            </w:r>
            <w:proofErr w:type="spellStart"/>
            <w:r w:rsidRPr="00AF3DD0">
              <w:rPr>
                <w:sz w:val="20"/>
                <w:szCs w:val="20"/>
              </w:rPr>
              <w:t>Єврохолд</w:t>
            </w:r>
            <w:proofErr w:type="spellEnd"/>
            <w:r w:rsidRPr="00AF3DD0">
              <w:rPr>
                <w:sz w:val="20"/>
                <w:szCs w:val="20"/>
              </w:rPr>
              <w:t xml:space="preserve"> Болгарія" АД є прямим акціонером "</w:t>
            </w:r>
            <w:proofErr w:type="spellStart"/>
            <w:r w:rsidRPr="00AF3DD0">
              <w:rPr>
                <w:sz w:val="20"/>
                <w:szCs w:val="20"/>
              </w:rPr>
              <w:t>Євроінс</w:t>
            </w:r>
            <w:proofErr w:type="spellEnd"/>
            <w:r w:rsidRPr="00AF3DD0">
              <w:rPr>
                <w:sz w:val="20"/>
                <w:szCs w:val="20"/>
              </w:rPr>
              <w:t xml:space="preserve"> </w:t>
            </w:r>
            <w:proofErr w:type="spellStart"/>
            <w:r w:rsidRPr="00AF3DD0">
              <w:rPr>
                <w:sz w:val="20"/>
                <w:szCs w:val="20"/>
              </w:rPr>
              <w:t>Іншуринс</w:t>
            </w:r>
            <w:proofErr w:type="spellEnd"/>
            <w:r w:rsidRPr="00AF3DD0">
              <w:rPr>
                <w:sz w:val="20"/>
                <w:szCs w:val="20"/>
              </w:rPr>
              <w:t xml:space="preserve"> Груп" АД ("</w:t>
            </w:r>
            <w:proofErr w:type="spellStart"/>
            <w:r w:rsidRPr="00AF3DD0">
              <w:rPr>
                <w:sz w:val="20"/>
                <w:szCs w:val="20"/>
              </w:rPr>
              <w:t>Euroins</w:t>
            </w:r>
            <w:proofErr w:type="spellEnd"/>
            <w:r w:rsidRPr="00AF3DD0">
              <w:rPr>
                <w:sz w:val="20"/>
                <w:szCs w:val="20"/>
              </w:rPr>
              <w:t xml:space="preserve"> </w:t>
            </w:r>
            <w:proofErr w:type="spellStart"/>
            <w:r w:rsidRPr="00AF3DD0">
              <w:rPr>
                <w:sz w:val="20"/>
                <w:szCs w:val="20"/>
              </w:rPr>
              <w:t>Insurance</w:t>
            </w:r>
            <w:proofErr w:type="spellEnd"/>
            <w:r w:rsidRPr="00AF3DD0">
              <w:rPr>
                <w:sz w:val="20"/>
                <w:szCs w:val="20"/>
              </w:rPr>
              <w:t xml:space="preserve"> Group" AD), частка в статутному капіталі становить 90,10%</w:t>
            </w:r>
          </w:p>
          <w:p w14:paraId="5F9EC2AA" w14:textId="77777777" w:rsidR="00BE7D8B" w:rsidRPr="00AF3DD0" w:rsidRDefault="00BE7D8B" w:rsidP="00BE7D8B">
            <w:pPr>
              <w:spacing w:after="0" w:line="259" w:lineRule="auto"/>
              <w:ind w:left="0" w:right="67" w:firstLine="0"/>
              <w:rPr>
                <w:sz w:val="20"/>
                <w:szCs w:val="20"/>
              </w:rPr>
            </w:pPr>
            <w:r w:rsidRPr="00AF3DD0">
              <w:rPr>
                <w:sz w:val="20"/>
                <w:szCs w:val="20"/>
              </w:rPr>
              <w:t>"</w:t>
            </w:r>
            <w:proofErr w:type="spellStart"/>
            <w:r w:rsidRPr="00AF3DD0">
              <w:rPr>
                <w:sz w:val="20"/>
                <w:szCs w:val="20"/>
              </w:rPr>
              <w:t>Єврохолд</w:t>
            </w:r>
            <w:proofErr w:type="spellEnd"/>
            <w:r w:rsidRPr="00AF3DD0">
              <w:rPr>
                <w:sz w:val="20"/>
                <w:szCs w:val="20"/>
              </w:rPr>
              <w:t xml:space="preserve"> Болгарія" АД є опосередкованим власником  ПрАТ «СК "Євроінс Україна» в розмірі 99,033011% через наступні компанії:</w:t>
            </w:r>
          </w:p>
          <w:p w14:paraId="689ED743" w14:textId="77777777" w:rsidR="00BE7D8B" w:rsidRPr="00AF3DD0" w:rsidRDefault="00BE7D8B" w:rsidP="00BE7D8B">
            <w:pPr>
              <w:spacing w:after="0" w:line="259" w:lineRule="auto"/>
              <w:ind w:left="0" w:right="67" w:firstLine="0"/>
              <w:rPr>
                <w:sz w:val="20"/>
                <w:szCs w:val="20"/>
              </w:rPr>
            </w:pPr>
            <w:r w:rsidRPr="00AF3DD0">
              <w:rPr>
                <w:sz w:val="20"/>
                <w:szCs w:val="20"/>
              </w:rPr>
              <w:t>- "</w:t>
            </w:r>
            <w:proofErr w:type="spellStart"/>
            <w:r w:rsidRPr="00AF3DD0">
              <w:rPr>
                <w:sz w:val="20"/>
                <w:szCs w:val="20"/>
              </w:rPr>
              <w:t>Єврохолд</w:t>
            </w:r>
            <w:proofErr w:type="spellEnd"/>
            <w:r w:rsidRPr="00AF3DD0">
              <w:rPr>
                <w:sz w:val="20"/>
                <w:szCs w:val="20"/>
              </w:rPr>
              <w:t xml:space="preserve"> Болгарія" АД є прямим акціонером "</w:t>
            </w:r>
            <w:proofErr w:type="spellStart"/>
            <w:r w:rsidRPr="00AF3DD0">
              <w:rPr>
                <w:sz w:val="20"/>
                <w:szCs w:val="20"/>
              </w:rPr>
              <w:t>Євроінс</w:t>
            </w:r>
            <w:proofErr w:type="spellEnd"/>
            <w:r w:rsidRPr="00AF3DD0">
              <w:rPr>
                <w:sz w:val="20"/>
                <w:szCs w:val="20"/>
              </w:rPr>
              <w:t xml:space="preserve"> </w:t>
            </w:r>
            <w:proofErr w:type="spellStart"/>
            <w:r w:rsidRPr="00AF3DD0">
              <w:rPr>
                <w:sz w:val="20"/>
                <w:szCs w:val="20"/>
              </w:rPr>
              <w:t>Іншуринс</w:t>
            </w:r>
            <w:proofErr w:type="spellEnd"/>
            <w:r w:rsidRPr="00AF3DD0">
              <w:rPr>
                <w:sz w:val="20"/>
                <w:szCs w:val="20"/>
              </w:rPr>
              <w:t xml:space="preserve"> Груп" АД, частка в </w:t>
            </w:r>
            <w:r w:rsidRPr="00AF3DD0">
              <w:rPr>
                <w:sz w:val="20"/>
                <w:szCs w:val="20"/>
              </w:rPr>
              <w:lastRenderedPageBreak/>
              <w:t>статутному капіталі становить 90,10%</w:t>
            </w:r>
          </w:p>
          <w:p w14:paraId="30B50792" w14:textId="77777777" w:rsidR="00BE7D8B" w:rsidRPr="00AF3DD0" w:rsidRDefault="00BE7D8B" w:rsidP="00BE7D8B">
            <w:pPr>
              <w:spacing w:after="0" w:line="259" w:lineRule="auto"/>
              <w:ind w:left="0" w:right="67" w:firstLine="0"/>
              <w:rPr>
                <w:sz w:val="20"/>
                <w:szCs w:val="20"/>
              </w:rPr>
            </w:pPr>
            <w:r w:rsidRPr="00AF3DD0">
              <w:rPr>
                <w:sz w:val="20"/>
                <w:szCs w:val="20"/>
              </w:rPr>
              <w:t>- "</w:t>
            </w:r>
            <w:proofErr w:type="spellStart"/>
            <w:r w:rsidRPr="00AF3DD0">
              <w:rPr>
                <w:sz w:val="20"/>
                <w:szCs w:val="20"/>
              </w:rPr>
              <w:t>Євроінс</w:t>
            </w:r>
            <w:proofErr w:type="spellEnd"/>
            <w:r w:rsidRPr="00AF3DD0">
              <w:rPr>
                <w:sz w:val="20"/>
                <w:szCs w:val="20"/>
              </w:rPr>
              <w:t xml:space="preserve"> </w:t>
            </w:r>
            <w:proofErr w:type="spellStart"/>
            <w:r w:rsidRPr="00AF3DD0">
              <w:rPr>
                <w:sz w:val="20"/>
                <w:szCs w:val="20"/>
              </w:rPr>
              <w:t>Іншуринс</w:t>
            </w:r>
            <w:proofErr w:type="spellEnd"/>
            <w:r w:rsidRPr="00AF3DD0">
              <w:rPr>
                <w:sz w:val="20"/>
                <w:szCs w:val="20"/>
              </w:rPr>
              <w:t xml:space="preserve"> Груп" АД є прямим акціонером ПрАТ «СК "Євроінс Україна», частка в статутному капіталі становить 95,394623 %</w:t>
            </w:r>
          </w:p>
          <w:p w14:paraId="2BF04AE6" w14:textId="77777777" w:rsidR="00BE7D8B" w:rsidRPr="00AF3DD0" w:rsidRDefault="00BE7D8B" w:rsidP="00BE7D8B">
            <w:pPr>
              <w:spacing w:after="0" w:line="259" w:lineRule="auto"/>
              <w:ind w:left="0" w:right="67" w:firstLine="0"/>
              <w:rPr>
                <w:sz w:val="20"/>
                <w:szCs w:val="20"/>
              </w:rPr>
            </w:pPr>
            <w:r w:rsidRPr="00AF3DD0">
              <w:rPr>
                <w:sz w:val="20"/>
                <w:szCs w:val="20"/>
              </w:rPr>
              <w:t>"</w:t>
            </w:r>
            <w:proofErr w:type="spellStart"/>
            <w:r w:rsidRPr="00AF3DD0">
              <w:rPr>
                <w:sz w:val="20"/>
                <w:szCs w:val="20"/>
              </w:rPr>
              <w:t>Єврохолд</w:t>
            </w:r>
            <w:proofErr w:type="spellEnd"/>
            <w:r w:rsidRPr="00AF3DD0">
              <w:rPr>
                <w:sz w:val="20"/>
                <w:szCs w:val="20"/>
              </w:rPr>
              <w:t xml:space="preserve"> Болгарія" АД контролює "</w:t>
            </w:r>
            <w:proofErr w:type="spellStart"/>
            <w:r w:rsidRPr="00AF3DD0">
              <w:rPr>
                <w:sz w:val="20"/>
                <w:szCs w:val="20"/>
              </w:rPr>
              <w:t>Євроінс</w:t>
            </w:r>
            <w:proofErr w:type="spellEnd"/>
            <w:r w:rsidRPr="00AF3DD0">
              <w:rPr>
                <w:sz w:val="20"/>
                <w:szCs w:val="20"/>
              </w:rPr>
              <w:t xml:space="preserve"> </w:t>
            </w:r>
            <w:proofErr w:type="spellStart"/>
            <w:r w:rsidRPr="00AF3DD0">
              <w:rPr>
                <w:sz w:val="20"/>
                <w:szCs w:val="20"/>
              </w:rPr>
              <w:t>Іншуринс</w:t>
            </w:r>
            <w:proofErr w:type="spellEnd"/>
            <w:r w:rsidRPr="00AF3DD0">
              <w:rPr>
                <w:sz w:val="20"/>
                <w:szCs w:val="20"/>
              </w:rPr>
              <w:t xml:space="preserve"> Груп" АД і ПрАТ «ЄТС»</w:t>
            </w:r>
          </w:p>
          <w:p w14:paraId="3C7631BF" w14:textId="77777777" w:rsidR="006B07E9" w:rsidRPr="00AF3DD0" w:rsidRDefault="00BE7D8B" w:rsidP="00BE7D8B">
            <w:pPr>
              <w:spacing w:after="0" w:line="259" w:lineRule="auto"/>
              <w:ind w:left="0" w:right="67" w:firstLine="0"/>
              <w:rPr>
                <w:sz w:val="20"/>
                <w:szCs w:val="20"/>
                <w:highlight w:val="yellow"/>
              </w:rPr>
            </w:pPr>
            <w:r w:rsidRPr="00AF3DD0">
              <w:rPr>
                <w:sz w:val="20"/>
                <w:szCs w:val="20"/>
              </w:rPr>
              <w:t>"</w:t>
            </w:r>
            <w:proofErr w:type="spellStart"/>
            <w:r w:rsidRPr="00AF3DD0">
              <w:rPr>
                <w:sz w:val="20"/>
                <w:szCs w:val="20"/>
              </w:rPr>
              <w:t>Єврохолд</w:t>
            </w:r>
            <w:proofErr w:type="spellEnd"/>
            <w:r w:rsidRPr="00AF3DD0">
              <w:rPr>
                <w:sz w:val="20"/>
                <w:szCs w:val="20"/>
              </w:rPr>
              <w:t xml:space="preserve"> Болгарія " відповідно до Рішення НБУ  від 05.12.2022 року №21/1634-рк отримало погодження на набуття істотної участі в ПрАТ "СК "Євроінс Україна" шляхом опосередкованого володіння  часткою в статутному капіталу фінансової установи через компанію "</w:t>
            </w:r>
            <w:proofErr w:type="spellStart"/>
            <w:r w:rsidRPr="00AF3DD0">
              <w:rPr>
                <w:sz w:val="20"/>
                <w:szCs w:val="20"/>
              </w:rPr>
              <w:t>Євроінс</w:t>
            </w:r>
            <w:proofErr w:type="spellEnd"/>
            <w:r w:rsidRPr="00AF3DD0">
              <w:rPr>
                <w:sz w:val="20"/>
                <w:szCs w:val="20"/>
              </w:rPr>
              <w:t xml:space="preserve"> </w:t>
            </w:r>
            <w:proofErr w:type="spellStart"/>
            <w:r w:rsidRPr="00AF3DD0">
              <w:rPr>
                <w:sz w:val="20"/>
                <w:szCs w:val="20"/>
              </w:rPr>
              <w:t>Іншуринс</w:t>
            </w:r>
            <w:proofErr w:type="spellEnd"/>
            <w:r w:rsidRPr="00AF3DD0">
              <w:rPr>
                <w:sz w:val="20"/>
                <w:szCs w:val="20"/>
              </w:rPr>
              <w:t xml:space="preserve"> Груп" АД та ПрАТ "ЄТС". ПрАТ "СК "ЄТС" володіє 3,638388%   в ПрАТ «СК «Євроінс Україна».</w:t>
            </w:r>
          </w:p>
        </w:tc>
      </w:tr>
      <w:tr w:rsidR="006C3E10" w:rsidRPr="00AF51F0" w14:paraId="2DB2C115" w14:textId="77777777" w:rsidTr="006C3E10">
        <w:tblPrEx>
          <w:tblCellMar>
            <w:top w:w="9" w:type="dxa"/>
            <w:left w:w="115" w:type="dxa"/>
            <w:right w:w="115" w:type="dxa"/>
          </w:tblCellMar>
        </w:tblPrEx>
        <w:trPr>
          <w:gridAfter w:val="2"/>
          <w:wAfter w:w="5350" w:type="dxa"/>
          <w:trHeight w:val="39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25E94" w14:textId="77777777" w:rsidR="006B07E9" w:rsidRPr="00BE7D8B" w:rsidRDefault="006B07E9" w:rsidP="006B07E9">
            <w:pPr>
              <w:spacing w:after="0" w:line="259" w:lineRule="auto"/>
              <w:ind w:left="65" w:firstLine="0"/>
              <w:jc w:val="center"/>
              <w:rPr>
                <w:sz w:val="20"/>
                <w:szCs w:val="20"/>
              </w:rPr>
            </w:pPr>
            <w:r w:rsidRPr="00BE7D8B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3401D" w14:textId="77777777" w:rsidR="006B07E9" w:rsidRPr="00BE7D8B" w:rsidRDefault="006B07E9" w:rsidP="006B07E9">
            <w:pPr>
              <w:spacing w:after="0" w:line="259" w:lineRule="auto"/>
              <w:ind w:left="75" w:firstLine="0"/>
              <w:jc w:val="center"/>
              <w:rPr>
                <w:sz w:val="20"/>
                <w:szCs w:val="20"/>
              </w:rPr>
            </w:pPr>
            <w:proofErr w:type="spellStart"/>
            <w:r w:rsidRPr="00BE7D8B">
              <w:rPr>
                <w:sz w:val="20"/>
                <w:szCs w:val="20"/>
              </w:rPr>
              <w:t>European</w:t>
            </w:r>
            <w:proofErr w:type="spellEnd"/>
            <w:r w:rsidRPr="00BE7D8B">
              <w:rPr>
                <w:sz w:val="20"/>
                <w:szCs w:val="20"/>
              </w:rPr>
              <w:t xml:space="preserve"> </w:t>
            </w:r>
            <w:proofErr w:type="spellStart"/>
            <w:r w:rsidRPr="00BE7D8B">
              <w:rPr>
                <w:sz w:val="20"/>
                <w:szCs w:val="20"/>
              </w:rPr>
              <w:t>Bank</w:t>
            </w:r>
            <w:proofErr w:type="spellEnd"/>
            <w:r w:rsidRPr="00BE7D8B">
              <w:rPr>
                <w:sz w:val="20"/>
                <w:szCs w:val="20"/>
              </w:rPr>
              <w:t xml:space="preserve"> </w:t>
            </w:r>
            <w:proofErr w:type="spellStart"/>
            <w:r w:rsidRPr="00BE7D8B">
              <w:rPr>
                <w:sz w:val="20"/>
                <w:szCs w:val="20"/>
              </w:rPr>
              <w:t>for</w:t>
            </w:r>
            <w:proofErr w:type="spellEnd"/>
            <w:r w:rsidRPr="00BE7D8B">
              <w:rPr>
                <w:sz w:val="20"/>
                <w:szCs w:val="20"/>
              </w:rPr>
              <w:t xml:space="preserve"> </w:t>
            </w:r>
            <w:proofErr w:type="spellStart"/>
            <w:r w:rsidRPr="00BE7D8B">
              <w:rPr>
                <w:sz w:val="20"/>
                <w:szCs w:val="20"/>
              </w:rPr>
              <w:t>Reconstruction</w:t>
            </w:r>
            <w:proofErr w:type="spellEnd"/>
            <w:r w:rsidRPr="00BE7D8B">
              <w:rPr>
                <w:sz w:val="20"/>
                <w:szCs w:val="20"/>
              </w:rPr>
              <w:t xml:space="preserve"> </w:t>
            </w:r>
            <w:proofErr w:type="spellStart"/>
            <w:r w:rsidRPr="00BE7D8B">
              <w:rPr>
                <w:sz w:val="20"/>
                <w:szCs w:val="20"/>
              </w:rPr>
              <w:t>and</w:t>
            </w:r>
            <w:proofErr w:type="spellEnd"/>
            <w:r w:rsidRPr="00BE7D8B">
              <w:rPr>
                <w:sz w:val="20"/>
                <w:szCs w:val="20"/>
              </w:rPr>
              <w:t xml:space="preserve"> </w:t>
            </w:r>
            <w:proofErr w:type="spellStart"/>
            <w:r w:rsidRPr="00BE7D8B">
              <w:rPr>
                <w:sz w:val="20"/>
                <w:szCs w:val="20"/>
              </w:rPr>
              <w:t>Development</w:t>
            </w:r>
            <w:proofErr w:type="spellEnd"/>
            <w:r w:rsidRPr="00BE7D8B">
              <w:rPr>
                <w:sz w:val="20"/>
                <w:szCs w:val="20"/>
              </w:rPr>
              <w:t xml:space="preserve"> (EBRD) (Європейський Банк Реконструкції та Розвитку (ЄБРР))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650A" w14:textId="77777777" w:rsidR="006B07E9" w:rsidRPr="00BE7D8B" w:rsidRDefault="006B07E9" w:rsidP="006B07E9">
            <w:pPr>
              <w:spacing w:after="0" w:line="259" w:lineRule="auto"/>
              <w:ind w:left="77" w:firstLine="0"/>
              <w:jc w:val="center"/>
              <w:rPr>
                <w:sz w:val="20"/>
                <w:szCs w:val="20"/>
              </w:rPr>
            </w:pPr>
            <w:r w:rsidRPr="00BE7D8B">
              <w:rPr>
                <w:sz w:val="20"/>
                <w:szCs w:val="20"/>
              </w:rPr>
              <w:t>МФУ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3F590" w14:textId="77777777" w:rsidR="006B07E9" w:rsidRPr="00BE7D8B" w:rsidRDefault="006B07E9" w:rsidP="006B07E9">
            <w:pPr>
              <w:spacing w:after="0" w:line="259" w:lineRule="auto"/>
              <w:ind w:left="77" w:firstLine="0"/>
              <w:jc w:val="center"/>
              <w:rPr>
                <w:sz w:val="20"/>
                <w:szCs w:val="20"/>
              </w:rPr>
            </w:pPr>
            <w:r w:rsidRPr="00BE7D8B">
              <w:rPr>
                <w:sz w:val="20"/>
                <w:szCs w:val="20"/>
              </w:rPr>
              <w:t>Ні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099B6" w14:textId="77777777" w:rsidR="006B07E9" w:rsidRPr="00BE7D8B" w:rsidRDefault="006B07E9" w:rsidP="006B07E9">
            <w:pPr>
              <w:spacing w:after="0" w:line="259" w:lineRule="auto"/>
              <w:ind w:left="77" w:firstLine="0"/>
              <w:jc w:val="center"/>
              <w:rPr>
                <w:sz w:val="20"/>
                <w:szCs w:val="20"/>
              </w:rPr>
            </w:pPr>
            <w:r w:rsidRPr="00BE7D8B">
              <w:rPr>
                <w:sz w:val="20"/>
                <w:szCs w:val="20"/>
              </w:rPr>
              <w:t>Сполучене Королівство Великої Британії та Північної Ірландії (</w:t>
            </w:r>
            <w:proofErr w:type="spellStart"/>
            <w:r w:rsidRPr="00BE7D8B">
              <w:rPr>
                <w:sz w:val="20"/>
                <w:szCs w:val="20"/>
              </w:rPr>
              <w:t>Kingdom</w:t>
            </w:r>
            <w:proofErr w:type="spellEnd"/>
            <w:r w:rsidRPr="00BE7D8B">
              <w:rPr>
                <w:sz w:val="20"/>
                <w:szCs w:val="20"/>
              </w:rPr>
              <w:t xml:space="preserve"> </w:t>
            </w:r>
            <w:proofErr w:type="spellStart"/>
            <w:r w:rsidRPr="00BE7D8B">
              <w:rPr>
                <w:sz w:val="20"/>
                <w:szCs w:val="20"/>
              </w:rPr>
              <w:t>of</w:t>
            </w:r>
            <w:proofErr w:type="spellEnd"/>
            <w:r w:rsidRPr="00BE7D8B">
              <w:rPr>
                <w:sz w:val="20"/>
                <w:szCs w:val="20"/>
              </w:rPr>
              <w:t xml:space="preserve"> </w:t>
            </w:r>
            <w:proofErr w:type="spellStart"/>
            <w:r w:rsidRPr="00BE7D8B">
              <w:rPr>
                <w:sz w:val="20"/>
                <w:szCs w:val="20"/>
              </w:rPr>
              <w:t>Great</w:t>
            </w:r>
            <w:proofErr w:type="spellEnd"/>
            <w:r w:rsidRPr="00BE7D8B">
              <w:rPr>
                <w:sz w:val="20"/>
                <w:szCs w:val="20"/>
              </w:rPr>
              <w:t xml:space="preserve"> </w:t>
            </w:r>
            <w:proofErr w:type="spellStart"/>
            <w:r w:rsidRPr="00BE7D8B">
              <w:rPr>
                <w:sz w:val="20"/>
                <w:szCs w:val="20"/>
              </w:rPr>
              <w:t>Britain</w:t>
            </w:r>
            <w:proofErr w:type="spellEnd"/>
            <w:r w:rsidRPr="00BE7D8B">
              <w:rPr>
                <w:sz w:val="20"/>
                <w:szCs w:val="20"/>
              </w:rPr>
              <w:t xml:space="preserve"> </w:t>
            </w:r>
            <w:proofErr w:type="spellStart"/>
            <w:r w:rsidRPr="00BE7D8B">
              <w:rPr>
                <w:sz w:val="20"/>
                <w:szCs w:val="20"/>
              </w:rPr>
              <w:t>and</w:t>
            </w:r>
            <w:proofErr w:type="spellEnd"/>
            <w:r w:rsidRPr="00BE7D8B">
              <w:rPr>
                <w:sz w:val="20"/>
                <w:szCs w:val="20"/>
              </w:rPr>
              <w:t xml:space="preserve"> </w:t>
            </w:r>
            <w:proofErr w:type="spellStart"/>
            <w:r w:rsidRPr="00BE7D8B">
              <w:rPr>
                <w:sz w:val="20"/>
                <w:szCs w:val="20"/>
              </w:rPr>
              <w:t>Northern</w:t>
            </w:r>
            <w:proofErr w:type="spellEnd"/>
            <w:r w:rsidRPr="00BE7D8B">
              <w:rPr>
                <w:sz w:val="20"/>
                <w:szCs w:val="20"/>
              </w:rPr>
              <w:t xml:space="preserve"> </w:t>
            </w:r>
            <w:proofErr w:type="spellStart"/>
            <w:r w:rsidRPr="00BE7D8B">
              <w:rPr>
                <w:sz w:val="20"/>
                <w:szCs w:val="20"/>
              </w:rPr>
              <w:t>Ireland</w:t>
            </w:r>
            <w:proofErr w:type="spellEnd"/>
            <w:r w:rsidRPr="00BE7D8B">
              <w:rPr>
                <w:sz w:val="20"/>
                <w:szCs w:val="20"/>
              </w:rPr>
              <w:t xml:space="preserve">) </w:t>
            </w:r>
            <w:proofErr w:type="spellStart"/>
            <w:r w:rsidRPr="00BE7D8B">
              <w:rPr>
                <w:sz w:val="20"/>
                <w:szCs w:val="20"/>
              </w:rPr>
              <w:t>Уан</w:t>
            </w:r>
            <w:proofErr w:type="spellEnd"/>
            <w:r w:rsidRPr="00BE7D8B">
              <w:rPr>
                <w:sz w:val="20"/>
                <w:szCs w:val="20"/>
              </w:rPr>
              <w:t xml:space="preserve"> </w:t>
            </w:r>
            <w:proofErr w:type="spellStart"/>
            <w:r w:rsidRPr="00BE7D8B">
              <w:rPr>
                <w:sz w:val="20"/>
                <w:szCs w:val="20"/>
              </w:rPr>
              <w:t>Ексчейндж</w:t>
            </w:r>
            <w:proofErr w:type="spellEnd"/>
            <w:r w:rsidRPr="00BE7D8B">
              <w:rPr>
                <w:sz w:val="20"/>
                <w:szCs w:val="20"/>
              </w:rPr>
              <w:t xml:space="preserve"> площа, EC2A 2JN, місто Лондон,  </w:t>
            </w:r>
            <w:proofErr w:type="spellStart"/>
            <w:r w:rsidRPr="00BE7D8B">
              <w:rPr>
                <w:sz w:val="20"/>
                <w:szCs w:val="20"/>
              </w:rPr>
              <w:t>One</w:t>
            </w:r>
            <w:proofErr w:type="spellEnd"/>
            <w:r w:rsidRPr="00BE7D8B">
              <w:rPr>
                <w:sz w:val="20"/>
                <w:szCs w:val="20"/>
              </w:rPr>
              <w:t xml:space="preserve"> Exchange </w:t>
            </w:r>
            <w:proofErr w:type="spellStart"/>
            <w:r w:rsidRPr="00BE7D8B">
              <w:rPr>
                <w:sz w:val="20"/>
                <w:szCs w:val="20"/>
              </w:rPr>
              <w:t>Square</w:t>
            </w:r>
            <w:proofErr w:type="spellEnd"/>
            <w:r w:rsidRPr="00BE7D8B">
              <w:rPr>
                <w:sz w:val="20"/>
                <w:szCs w:val="20"/>
              </w:rPr>
              <w:t xml:space="preserve">, EC2A 2JN </w:t>
            </w:r>
            <w:proofErr w:type="spellStart"/>
            <w:r w:rsidRPr="00BE7D8B">
              <w:rPr>
                <w:sz w:val="20"/>
                <w:szCs w:val="20"/>
              </w:rPr>
              <w:t>city</w:t>
            </w:r>
            <w:proofErr w:type="spellEnd"/>
            <w:r w:rsidRPr="00BE7D8B">
              <w:rPr>
                <w:sz w:val="20"/>
                <w:szCs w:val="20"/>
              </w:rPr>
              <w:t xml:space="preserve"> </w:t>
            </w:r>
            <w:proofErr w:type="spellStart"/>
            <w:r w:rsidRPr="00BE7D8B">
              <w:rPr>
                <w:sz w:val="20"/>
                <w:szCs w:val="20"/>
              </w:rPr>
              <w:t>London</w:t>
            </w:r>
            <w:proofErr w:type="spellEnd"/>
            <w:r w:rsidRPr="00BE7D8B">
              <w:rPr>
                <w:sz w:val="20"/>
                <w:szCs w:val="20"/>
              </w:rPr>
              <w:t xml:space="preserve">, </w:t>
            </w:r>
            <w:proofErr w:type="spellStart"/>
            <w:r w:rsidRPr="00BE7D8B">
              <w:rPr>
                <w:sz w:val="20"/>
                <w:szCs w:val="20"/>
              </w:rPr>
              <w:t>United</w:t>
            </w:r>
            <w:proofErr w:type="spellEnd"/>
            <w:r w:rsidRPr="00BE7D8B">
              <w:rPr>
                <w:sz w:val="20"/>
                <w:szCs w:val="20"/>
              </w:rPr>
              <w:t xml:space="preserve"> Реєстраційний номер відсутній Код LEI  549300HTGDOVDU 6OGK19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5B375" w14:textId="77777777" w:rsidR="006B07E9" w:rsidRPr="00BE7D8B" w:rsidRDefault="006B07E9" w:rsidP="006B07E9">
            <w:pPr>
              <w:spacing w:after="0" w:line="259" w:lineRule="auto"/>
              <w:ind w:left="80" w:firstLine="0"/>
              <w:jc w:val="center"/>
              <w:rPr>
                <w:sz w:val="20"/>
                <w:szCs w:val="20"/>
              </w:rPr>
            </w:pPr>
            <w:r w:rsidRPr="00BE7D8B">
              <w:rPr>
                <w:sz w:val="20"/>
                <w:szCs w:val="20"/>
              </w:rPr>
              <w:t>_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26F43" w14:textId="77777777" w:rsidR="006B07E9" w:rsidRPr="00AF51F0" w:rsidRDefault="00BE7D8B" w:rsidP="006B07E9">
            <w:pPr>
              <w:spacing w:after="0" w:line="259" w:lineRule="auto"/>
              <w:ind w:left="79" w:firstLine="0"/>
              <w:jc w:val="center"/>
              <w:rPr>
                <w:sz w:val="20"/>
                <w:szCs w:val="20"/>
                <w:highlight w:val="yellow"/>
              </w:rPr>
            </w:pPr>
            <w:r w:rsidRPr="00BE7D8B">
              <w:rPr>
                <w:sz w:val="20"/>
                <w:szCs w:val="20"/>
              </w:rPr>
              <w:t>9,804266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3C6C" w14:textId="77777777" w:rsidR="006B07E9" w:rsidRPr="00AF51F0" w:rsidRDefault="00BE7D8B" w:rsidP="006B07E9">
            <w:pPr>
              <w:spacing w:after="0" w:line="259" w:lineRule="auto"/>
              <w:ind w:left="77" w:firstLine="0"/>
              <w:jc w:val="center"/>
              <w:rPr>
                <w:sz w:val="20"/>
                <w:szCs w:val="20"/>
                <w:highlight w:val="yellow"/>
              </w:rPr>
            </w:pPr>
            <w:r w:rsidRPr="00BE7D8B">
              <w:rPr>
                <w:sz w:val="20"/>
                <w:szCs w:val="20"/>
              </w:rPr>
              <w:t>9,804266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1E855" w14:textId="77777777" w:rsidR="00BE7D8B" w:rsidRPr="00AF3DD0" w:rsidRDefault="00BE7D8B" w:rsidP="00BE7D8B">
            <w:pPr>
              <w:spacing w:after="0" w:line="259" w:lineRule="auto"/>
              <w:ind w:left="79" w:firstLine="0"/>
              <w:rPr>
                <w:sz w:val="20"/>
                <w:szCs w:val="20"/>
              </w:rPr>
            </w:pPr>
            <w:r w:rsidRPr="00AF3DD0">
              <w:rPr>
                <w:sz w:val="20"/>
                <w:szCs w:val="20"/>
              </w:rPr>
              <w:t>Через юридичну особу «</w:t>
            </w:r>
            <w:proofErr w:type="spellStart"/>
            <w:r w:rsidRPr="00AF3DD0">
              <w:rPr>
                <w:sz w:val="20"/>
                <w:szCs w:val="20"/>
              </w:rPr>
              <w:t>Євроінс</w:t>
            </w:r>
            <w:proofErr w:type="spellEnd"/>
            <w:r w:rsidRPr="00AF3DD0">
              <w:rPr>
                <w:sz w:val="20"/>
                <w:szCs w:val="20"/>
              </w:rPr>
              <w:t xml:space="preserve"> </w:t>
            </w:r>
            <w:proofErr w:type="spellStart"/>
            <w:r w:rsidRPr="00AF3DD0">
              <w:rPr>
                <w:sz w:val="20"/>
                <w:szCs w:val="20"/>
              </w:rPr>
              <w:t>Іншуринс</w:t>
            </w:r>
            <w:proofErr w:type="spellEnd"/>
            <w:r w:rsidRPr="00AF3DD0">
              <w:rPr>
                <w:sz w:val="20"/>
                <w:szCs w:val="20"/>
              </w:rPr>
              <w:t xml:space="preserve"> Груп» АД (9,90%), якій належить 95,394623% акцій Надавача фінансових послуг та 99,99998%  ПрАТ «ЄТС», якій належить 3,638388% Надавача фінансових послуг.  </w:t>
            </w:r>
          </w:p>
          <w:p w14:paraId="24FACA57" w14:textId="77777777" w:rsidR="00BE7D8B" w:rsidRPr="00AF3DD0" w:rsidRDefault="00BE7D8B" w:rsidP="00BE7D8B">
            <w:pPr>
              <w:spacing w:after="0" w:line="259" w:lineRule="auto"/>
              <w:ind w:left="79" w:firstLine="0"/>
              <w:rPr>
                <w:sz w:val="20"/>
                <w:szCs w:val="20"/>
              </w:rPr>
            </w:pPr>
            <w:r w:rsidRPr="00AF3DD0">
              <w:rPr>
                <w:sz w:val="20"/>
                <w:szCs w:val="20"/>
              </w:rPr>
              <w:t>Учасниками ЄБРР є 72 країни, Європейський союз і Європейський інвестиційний банк.   https://www.ebrd.com/ru/home.html</w:t>
            </w:r>
          </w:p>
          <w:p w14:paraId="44312DB1" w14:textId="77777777" w:rsidR="006B07E9" w:rsidRPr="00AF3DD0" w:rsidRDefault="00BE7D8B" w:rsidP="00BE7D8B">
            <w:pPr>
              <w:spacing w:after="0" w:line="259" w:lineRule="auto"/>
              <w:ind w:left="79" w:firstLine="0"/>
              <w:rPr>
                <w:sz w:val="20"/>
                <w:szCs w:val="20"/>
                <w:highlight w:val="yellow"/>
              </w:rPr>
            </w:pPr>
            <w:r w:rsidRPr="00AF3DD0">
              <w:rPr>
                <w:sz w:val="20"/>
                <w:szCs w:val="20"/>
              </w:rPr>
              <w:t xml:space="preserve">Фізичні особи – </w:t>
            </w:r>
            <w:proofErr w:type="spellStart"/>
            <w:r w:rsidRPr="00AF3DD0">
              <w:rPr>
                <w:sz w:val="20"/>
                <w:szCs w:val="20"/>
              </w:rPr>
              <w:t>бенефіціарні</w:t>
            </w:r>
            <w:proofErr w:type="spellEnd"/>
            <w:r w:rsidRPr="00AF3DD0">
              <w:rPr>
                <w:sz w:val="20"/>
                <w:szCs w:val="20"/>
              </w:rPr>
              <w:t xml:space="preserve"> власники відсутні. Код LEI  549300HTGDOVDU6OGK19</w:t>
            </w:r>
          </w:p>
        </w:tc>
      </w:tr>
      <w:tr w:rsidR="006C3E10" w:rsidRPr="00AF51F0" w14:paraId="25E2B702" w14:textId="77777777" w:rsidTr="006C3E10">
        <w:tblPrEx>
          <w:tblCellMar>
            <w:top w:w="9" w:type="dxa"/>
            <w:left w:w="115" w:type="dxa"/>
            <w:right w:w="115" w:type="dxa"/>
          </w:tblCellMar>
        </w:tblPrEx>
        <w:trPr>
          <w:gridAfter w:val="2"/>
          <w:wAfter w:w="5350" w:type="dxa"/>
          <w:trHeight w:val="39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61E0B" w14:textId="77777777" w:rsidR="006B07E9" w:rsidRPr="00E12F65" w:rsidRDefault="006C3E10" w:rsidP="006B07E9">
            <w:pPr>
              <w:spacing w:after="0" w:line="259" w:lineRule="auto"/>
              <w:ind w:left="65" w:firstLine="0"/>
              <w:jc w:val="center"/>
              <w:rPr>
                <w:sz w:val="20"/>
                <w:szCs w:val="20"/>
              </w:rPr>
            </w:pPr>
            <w:r w:rsidRPr="00E12F65">
              <w:rPr>
                <w:sz w:val="20"/>
                <w:szCs w:val="20"/>
              </w:rPr>
              <w:t>3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B568D" w14:textId="77777777" w:rsidR="006B07E9" w:rsidRPr="00E12F65" w:rsidRDefault="006C3E10" w:rsidP="006B07E9">
            <w:pPr>
              <w:spacing w:after="0" w:line="259" w:lineRule="auto"/>
              <w:ind w:left="75" w:firstLine="0"/>
              <w:jc w:val="center"/>
              <w:rPr>
                <w:sz w:val="20"/>
                <w:szCs w:val="20"/>
              </w:rPr>
            </w:pPr>
            <w:proofErr w:type="spellStart"/>
            <w:r w:rsidRPr="00E12F65">
              <w:rPr>
                <w:sz w:val="20"/>
                <w:szCs w:val="20"/>
              </w:rPr>
              <w:t>Minchev</w:t>
            </w:r>
            <w:proofErr w:type="spellEnd"/>
            <w:r w:rsidRPr="00E12F65">
              <w:rPr>
                <w:sz w:val="20"/>
                <w:szCs w:val="20"/>
              </w:rPr>
              <w:t xml:space="preserve"> </w:t>
            </w:r>
            <w:proofErr w:type="spellStart"/>
            <w:r w:rsidRPr="00E12F65">
              <w:rPr>
                <w:sz w:val="20"/>
                <w:szCs w:val="20"/>
              </w:rPr>
              <w:t>Asen</w:t>
            </w:r>
            <w:proofErr w:type="spellEnd"/>
            <w:r w:rsidRPr="00E12F65">
              <w:rPr>
                <w:sz w:val="20"/>
                <w:szCs w:val="20"/>
              </w:rPr>
              <w:t xml:space="preserve"> </w:t>
            </w:r>
            <w:proofErr w:type="spellStart"/>
            <w:r w:rsidRPr="00E12F65">
              <w:rPr>
                <w:sz w:val="20"/>
                <w:szCs w:val="20"/>
              </w:rPr>
              <w:t>Minchev</w:t>
            </w:r>
            <w:proofErr w:type="spellEnd"/>
            <w:r w:rsidRPr="00E12F65">
              <w:rPr>
                <w:sz w:val="20"/>
                <w:szCs w:val="20"/>
              </w:rPr>
              <w:t xml:space="preserve"> (</w:t>
            </w:r>
            <w:proofErr w:type="spellStart"/>
            <w:r w:rsidRPr="00E12F65">
              <w:rPr>
                <w:sz w:val="20"/>
                <w:szCs w:val="20"/>
              </w:rPr>
              <w:t>Мінчев</w:t>
            </w:r>
            <w:proofErr w:type="spellEnd"/>
            <w:r w:rsidRPr="00E12F65">
              <w:rPr>
                <w:sz w:val="20"/>
                <w:szCs w:val="20"/>
              </w:rPr>
              <w:t xml:space="preserve"> </w:t>
            </w:r>
            <w:proofErr w:type="spellStart"/>
            <w:r w:rsidRPr="00E12F65">
              <w:rPr>
                <w:sz w:val="20"/>
                <w:szCs w:val="20"/>
              </w:rPr>
              <w:t>Асен</w:t>
            </w:r>
            <w:proofErr w:type="spellEnd"/>
            <w:r w:rsidRPr="00E12F65">
              <w:rPr>
                <w:sz w:val="20"/>
                <w:szCs w:val="20"/>
              </w:rPr>
              <w:t xml:space="preserve"> </w:t>
            </w:r>
            <w:proofErr w:type="spellStart"/>
            <w:r w:rsidRPr="00E12F65">
              <w:rPr>
                <w:sz w:val="20"/>
                <w:szCs w:val="20"/>
              </w:rPr>
              <w:t>Мінчев</w:t>
            </w:r>
            <w:proofErr w:type="spellEnd"/>
            <w:r w:rsidRPr="00E12F65">
              <w:rPr>
                <w:sz w:val="20"/>
                <w:szCs w:val="20"/>
              </w:rPr>
              <w:t>)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42ECD" w14:textId="77777777" w:rsidR="006B07E9" w:rsidRPr="00E12F65" w:rsidRDefault="006C3E10" w:rsidP="006B07E9">
            <w:pPr>
              <w:spacing w:after="0" w:line="259" w:lineRule="auto"/>
              <w:ind w:left="77" w:firstLine="0"/>
              <w:jc w:val="center"/>
              <w:rPr>
                <w:sz w:val="20"/>
                <w:szCs w:val="20"/>
              </w:rPr>
            </w:pPr>
            <w:r w:rsidRPr="00E12F65">
              <w:rPr>
                <w:sz w:val="20"/>
                <w:szCs w:val="20"/>
              </w:rPr>
              <w:t>ФО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41E34" w14:textId="77777777" w:rsidR="006B07E9" w:rsidRPr="00E12F65" w:rsidRDefault="006C3E10" w:rsidP="006B07E9">
            <w:pPr>
              <w:spacing w:after="0" w:line="259" w:lineRule="auto"/>
              <w:ind w:left="77" w:firstLine="0"/>
              <w:jc w:val="center"/>
              <w:rPr>
                <w:sz w:val="20"/>
                <w:szCs w:val="20"/>
              </w:rPr>
            </w:pPr>
            <w:r w:rsidRPr="00E12F65">
              <w:rPr>
                <w:sz w:val="20"/>
                <w:szCs w:val="20"/>
              </w:rPr>
              <w:t>Ні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77F6A" w14:textId="48C435AF" w:rsidR="006B07E9" w:rsidRPr="00E12F65" w:rsidRDefault="006C3E10" w:rsidP="006B07E9">
            <w:pPr>
              <w:spacing w:after="0" w:line="259" w:lineRule="auto"/>
              <w:ind w:left="77" w:firstLine="0"/>
              <w:jc w:val="center"/>
              <w:rPr>
                <w:sz w:val="20"/>
                <w:szCs w:val="20"/>
              </w:rPr>
            </w:pPr>
            <w:r w:rsidRPr="00E12F65">
              <w:rPr>
                <w:sz w:val="20"/>
                <w:szCs w:val="20"/>
              </w:rPr>
              <w:t xml:space="preserve">Громадянство  Болгарія 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FF8A3" w14:textId="77777777" w:rsidR="006B07E9" w:rsidRPr="00E12F65" w:rsidRDefault="00BE7D8B" w:rsidP="006B07E9">
            <w:pPr>
              <w:spacing w:after="0" w:line="259" w:lineRule="auto"/>
              <w:ind w:left="80" w:firstLine="0"/>
              <w:jc w:val="center"/>
              <w:rPr>
                <w:sz w:val="20"/>
                <w:szCs w:val="20"/>
              </w:rPr>
            </w:pPr>
            <w:r w:rsidRPr="00E12F65">
              <w:rPr>
                <w:sz w:val="20"/>
                <w:szCs w:val="20"/>
              </w:rPr>
              <w:t>0,57368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24F65" w14:textId="77777777" w:rsidR="006B07E9" w:rsidRPr="00E12F65" w:rsidRDefault="00E12F65" w:rsidP="006B07E9">
            <w:pPr>
              <w:spacing w:after="0" w:line="259" w:lineRule="auto"/>
              <w:ind w:left="79" w:firstLine="0"/>
              <w:jc w:val="center"/>
              <w:rPr>
                <w:sz w:val="20"/>
                <w:szCs w:val="20"/>
              </w:rPr>
            </w:pPr>
            <w:r w:rsidRPr="00E12F65">
              <w:rPr>
                <w:sz w:val="20"/>
                <w:szCs w:val="20"/>
              </w:rPr>
              <w:t>0,00000036383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CA8C9" w14:textId="77777777" w:rsidR="006B07E9" w:rsidRPr="00E12F65" w:rsidRDefault="00E12F65" w:rsidP="006B07E9">
            <w:pPr>
              <w:spacing w:after="0" w:line="259" w:lineRule="auto"/>
              <w:ind w:left="77" w:firstLine="0"/>
              <w:jc w:val="center"/>
              <w:rPr>
                <w:sz w:val="20"/>
                <w:szCs w:val="20"/>
              </w:rPr>
            </w:pPr>
            <w:r w:rsidRPr="00E12F65">
              <w:rPr>
                <w:sz w:val="20"/>
                <w:szCs w:val="20"/>
              </w:rPr>
              <w:t>0,57368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11B8" w14:textId="77777777" w:rsidR="00BE7D8B" w:rsidRPr="00E12F65" w:rsidRDefault="006C3E10" w:rsidP="00BE7D8B">
            <w:pPr>
              <w:tabs>
                <w:tab w:val="left" w:pos="270"/>
              </w:tabs>
              <w:spacing w:after="0" w:line="259" w:lineRule="auto"/>
              <w:ind w:left="79" w:firstLine="0"/>
              <w:rPr>
                <w:sz w:val="20"/>
                <w:szCs w:val="20"/>
              </w:rPr>
            </w:pPr>
            <w:r w:rsidRPr="00E12F65">
              <w:rPr>
                <w:sz w:val="20"/>
                <w:szCs w:val="20"/>
              </w:rPr>
              <w:tab/>
            </w:r>
            <w:proofErr w:type="spellStart"/>
            <w:r w:rsidR="00BE7D8B" w:rsidRPr="00E12F65">
              <w:rPr>
                <w:sz w:val="20"/>
                <w:szCs w:val="20"/>
              </w:rPr>
              <w:t>Мінчев</w:t>
            </w:r>
            <w:proofErr w:type="spellEnd"/>
            <w:r w:rsidR="00BE7D8B" w:rsidRPr="00E12F65">
              <w:rPr>
                <w:sz w:val="20"/>
                <w:szCs w:val="20"/>
              </w:rPr>
              <w:t xml:space="preserve"> </w:t>
            </w:r>
            <w:proofErr w:type="spellStart"/>
            <w:r w:rsidR="00BE7D8B" w:rsidRPr="00E12F65">
              <w:rPr>
                <w:sz w:val="20"/>
                <w:szCs w:val="20"/>
              </w:rPr>
              <w:t>Асен</w:t>
            </w:r>
            <w:proofErr w:type="spellEnd"/>
            <w:r w:rsidR="00BE7D8B" w:rsidRPr="00E12F65">
              <w:rPr>
                <w:sz w:val="20"/>
                <w:szCs w:val="20"/>
              </w:rPr>
              <w:t xml:space="preserve"> </w:t>
            </w:r>
            <w:proofErr w:type="spellStart"/>
            <w:r w:rsidR="00BE7D8B" w:rsidRPr="00E12F65">
              <w:rPr>
                <w:sz w:val="20"/>
                <w:szCs w:val="20"/>
              </w:rPr>
              <w:t>Мінчев</w:t>
            </w:r>
            <w:proofErr w:type="spellEnd"/>
            <w:r w:rsidR="00BE7D8B" w:rsidRPr="00E12F65">
              <w:rPr>
                <w:sz w:val="20"/>
                <w:szCs w:val="20"/>
              </w:rPr>
              <w:t xml:space="preserve"> є прямим акціонером ПрАТ «СК «Євроінс Україна» в розмірі 0,573680%</w:t>
            </w:r>
          </w:p>
          <w:p w14:paraId="60688C7E" w14:textId="77777777" w:rsidR="006B07E9" w:rsidRPr="00E12F65" w:rsidRDefault="00BE7D8B" w:rsidP="00BE7D8B">
            <w:pPr>
              <w:tabs>
                <w:tab w:val="left" w:pos="270"/>
              </w:tabs>
              <w:spacing w:after="0" w:line="259" w:lineRule="auto"/>
              <w:ind w:left="79" w:firstLine="0"/>
              <w:rPr>
                <w:sz w:val="20"/>
                <w:szCs w:val="20"/>
              </w:rPr>
            </w:pPr>
            <w:proofErr w:type="spellStart"/>
            <w:r w:rsidRPr="00E12F65">
              <w:rPr>
                <w:sz w:val="20"/>
                <w:szCs w:val="20"/>
              </w:rPr>
              <w:t>Мінчев</w:t>
            </w:r>
            <w:proofErr w:type="spellEnd"/>
            <w:r w:rsidRPr="00E12F65">
              <w:rPr>
                <w:sz w:val="20"/>
                <w:szCs w:val="20"/>
              </w:rPr>
              <w:t xml:space="preserve"> </w:t>
            </w:r>
            <w:proofErr w:type="spellStart"/>
            <w:r w:rsidRPr="00E12F65">
              <w:rPr>
                <w:sz w:val="20"/>
                <w:szCs w:val="20"/>
              </w:rPr>
              <w:t>Асен</w:t>
            </w:r>
            <w:proofErr w:type="spellEnd"/>
            <w:r w:rsidRPr="00E12F65">
              <w:rPr>
                <w:sz w:val="20"/>
                <w:szCs w:val="20"/>
              </w:rPr>
              <w:t xml:space="preserve"> </w:t>
            </w:r>
            <w:proofErr w:type="spellStart"/>
            <w:r w:rsidRPr="00E12F65">
              <w:rPr>
                <w:sz w:val="20"/>
                <w:szCs w:val="20"/>
              </w:rPr>
              <w:t>Мінчев</w:t>
            </w:r>
            <w:proofErr w:type="spellEnd"/>
            <w:r w:rsidRPr="00E12F65">
              <w:rPr>
                <w:sz w:val="20"/>
                <w:szCs w:val="20"/>
              </w:rPr>
              <w:t xml:space="preserve"> є прямим власником ПрАТ «ЄТС» в розмірі </w:t>
            </w:r>
            <w:r w:rsidRPr="00E12F65">
              <w:rPr>
                <w:sz w:val="20"/>
                <w:szCs w:val="20"/>
              </w:rPr>
              <w:lastRenderedPageBreak/>
              <w:t xml:space="preserve">0,00001%, якій належить 3,638388% Надавача фінансових послуг .   </w:t>
            </w:r>
          </w:p>
        </w:tc>
      </w:tr>
      <w:tr w:rsidR="006C3E10" w:rsidRPr="00AF51F0" w14:paraId="18D06BFB" w14:textId="77777777" w:rsidTr="006C3E10">
        <w:tblPrEx>
          <w:tblCellMar>
            <w:top w:w="9" w:type="dxa"/>
            <w:left w:w="115" w:type="dxa"/>
            <w:right w:w="115" w:type="dxa"/>
          </w:tblCellMar>
        </w:tblPrEx>
        <w:trPr>
          <w:gridAfter w:val="2"/>
          <w:wAfter w:w="5350" w:type="dxa"/>
          <w:trHeight w:val="39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39D86" w14:textId="77777777" w:rsidR="006B07E9" w:rsidRPr="00AF3DD0" w:rsidRDefault="006C3E10" w:rsidP="006B07E9">
            <w:pPr>
              <w:spacing w:after="0" w:line="259" w:lineRule="auto"/>
              <w:ind w:left="65" w:firstLine="0"/>
              <w:jc w:val="center"/>
            </w:pPr>
            <w:r w:rsidRPr="00AF3DD0">
              <w:rPr>
                <w:sz w:val="20"/>
              </w:rPr>
              <w:lastRenderedPageBreak/>
              <w:t>4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ED056" w14:textId="77777777" w:rsidR="006B07E9" w:rsidRPr="00AF3DD0" w:rsidRDefault="006C3E10" w:rsidP="006B07E9">
            <w:pPr>
              <w:spacing w:after="0" w:line="259" w:lineRule="auto"/>
              <w:ind w:left="75" w:firstLine="0"/>
              <w:jc w:val="center"/>
              <w:rPr>
                <w:sz w:val="20"/>
                <w:szCs w:val="20"/>
              </w:rPr>
            </w:pPr>
            <w:r w:rsidRPr="00AF3DD0">
              <w:rPr>
                <w:sz w:val="20"/>
                <w:szCs w:val="20"/>
              </w:rPr>
              <w:t xml:space="preserve">Nikolov Yanko </w:t>
            </w:r>
            <w:proofErr w:type="spellStart"/>
            <w:r w:rsidRPr="00AF3DD0">
              <w:rPr>
                <w:sz w:val="20"/>
                <w:szCs w:val="20"/>
              </w:rPr>
              <w:t>Georgiev</w:t>
            </w:r>
            <w:proofErr w:type="spellEnd"/>
            <w:r w:rsidRPr="00AF3DD0">
              <w:rPr>
                <w:sz w:val="20"/>
                <w:szCs w:val="20"/>
              </w:rPr>
              <w:t xml:space="preserve"> (Ніколов Янко Георгіев)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B1EA0" w14:textId="77777777" w:rsidR="006B07E9" w:rsidRPr="00AF3DD0" w:rsidRDefault="006C3E10" w:rsidP="006B07E9">
            <w:pPr>
              <w:spacing w:after="0" w:line="259" w:lineRule="auto"/>
              <w:ind w:left="77" w:firstLine="0"/>
              <w:jc w:val="center"/>
              <w:rPr>
                <w:sz w:val="20"/>
                <w:szCs w:val="20"/>
              </w:rPr>
            </w:pPr>
            <w:r w:rsidRPr="00AF3DD0">
              <w:rPr>
                <w:sz w:val="20"/>
                <w:szCs w:val="20"/>
              </w:rPr>
              <w:t>ФО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2C07C" w14:textId="77777777" w:rsidR="006B07E9" w:rsidRPr="00AF3DD0" w:rsidRDefault="006C3E10" w:rsidP="006B07E9">
            <w:pPr>
              <w:spacing w:after="0" w:line="259" w:lineRule="auto"/>
              <w:ind w:left="77" w:firstLine="0"/>
              <w:jc w:val="center"/>
              <w:rPr>
                <w:sz w:val="20"/>
                <w:szCs w:val="20"/>
              </w:rPr>
            </w:pPr>
            <w:r w:rsidRPr="00AF3DD0">
              <w:rPr>
                <w:sz w:val="20"/>
                <w:szCs w:val="20"/>
              </w:rPr>
              <w:t>Ні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F1F27" w14:textId="2A4C511E" w:rsidR="006B07E9" w:rsidRPr="00AF3DD0" w:rsidRDefault="006C3E10" w:rsidP="006B07E9">
            <w:pPr>
              <w:spacing w:after="0" w:line="259" w:lineRule="auto"/>
              <w:ind w:left="77" w:firstLine="0"/>
              <w:jc w:val="center"/>
              <w:rPr>
                <w:sz w:val="20"/>
                <w:szCs w:val="20"/>
              </w:rPr>
            </w:pPr>
            <w:r w:rsidRPr="00AF3DD0">
              <w:rPr>
                <w:sz w:val="20"/>
                <w:szCs w:val="20"/>
              </w:rPr>
              <w:t xml:space="preserve">Громадянство  Болгарія 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E74B" w14:textId="77777777" w:rsidR="006B07E9" w:rsidRPr="00AF51F0" w:rsidRDefault="00AF3DD0" w:rsidP="006B07E9">
            <w:pPr>
              <w:spacing w:after="0" w:line="259" w:lineRule="auto"/>
              <w:ind w:left="80" w:firstLine="0"/>
              <w:jc w:val="center"/>
              <w:rPr>
                <w:sz w:val="20"/>
                <w:szCs w:val="20"/>
                <w:highlight w:val="yellow"/>
              </w:rPr>
            </w:pPr>
            <w:r w:rsidRPr="00E12F65">
              <w:rPr>
                <w:sz w:val="20"/>
                <w:szCs w:val="20"/>
              </w:rPr>
              <w:t>0,393309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81711" w14:textId="77777777" w:rsidR="006B07E9" w:rsidRPr="00AF51F0" w:rsidRDefault="00AF3DD0" w:rsidP="006B07E9">
            <w:pPr>
              <w:spacing w:after="0" w:line="259" w:lineRule="auto"/>
              <w:ind w:left="79" w:firstLine="0"/>
              <w:jc w:val="center"/>
              <w:rPr>
                <w:sz w:val="20"/>
                <w:szCs w:val="20"/>
                <w:highlight w:val="yellow"/>
              </w:rPr>
            </w:pPr>
            <w:r w:rsidRPr="00AF3DD0">
              <w:rPr>
                <w:sz w:val="20"/>
                <w:szCs w:val="20"/>
              </w:rPr>
              <w:t>0,00000036383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9B375" w14:textId="77777777" w:rsidR="006B07E9" w:rsidRPr="00AF51F0" w:rsidRDefault="00AF3DD0" w:rsidP="006B07E9">
            <w:pPr>
              <w:spacing w:after="0" w:line="259" w:lineRule="auto"/>
              <w:ind w:left="77" w:firstLine="0"/>
              <w:jc w:val="center"/>
              <w:rPr>
                <w:sz w:val="20"/>
                <w:szCs w:val="20"/>
                <w:highlight w:val="yellow"/>
              </w:rPr>
            </w:pPr>
            <w:r w:rsidRPr="00E12F65">
              <w:rPr>
                <w:sz w:val="20"/>
                <w:szCs w:val="20"/>
              </w:rPr>
              <w:t>0,393309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63F89" w14:textId="77777777" w:rsidR="00E12F65" w:rsidRPr="00E12F65" w:rsidRDefault="00E12F65" w:rsidP="00E12F65">
            <w:pPr>
              <w:spacing w:after="0" w:line="259" w:lineRule="auto"/>
              <w:ind w:left="79" w:firstLine="0"/>
              <w:jc w:val="center"/>
              <w:rPr>
                <w:sz w:val="20"/>
                <w:szCs w:val="20"/>
              </w:rPr>
            </w:pPr>
            <w:r w:rsidRPr="00E12F65">
              <w:rPr>
                <w:sz w:val="20"/>
                <w:szCs w:val="20"/>
              </w:rPr>
              <w:t>Ніколов Янко Георгіев є прямим акціонером ПрАТ «СК «Євроінс Україна» в розмірі 0,393309%</w:t>
            </w:r>
          </w:p>
          <w:p w14:paraId="65C02ECD" w14:textId="77777777" w:rsidR="006B07E9" w:rsidRPr="00AF51F0" w:rsidRDefault="00E12F65" w:rsidP="00E12F65">
            <w:pPr>
              <w:spacing w:after="0" w:line="259" w:lineRule="auto"/>
              <w:ind w:left="79" w:firstLine="0"/>
              <w:jc w:val="center"/>
              <w:rPr>
                <w:sz w:val="20"/>
                <w:szCs w:val="20"/>
                <w:highlight w:val="yellow"/>
              </w:rPr>
            </w:pPr>
            <w:r w:rsidRPr="00E12F65">
              <w:rPr>
                <w:sz w:val="20"/>
                <w:szCs w:val="20"/>
              </w:rPr>
              <w:t>Ніколов Янко Георгіев є прямим власником ПрАТ «ЄТС» в розмірі 0,00001%, якій належить 3,638</w:t>
            </w:r>
            <w:r w:rsidR="00AF3DD0">
              <w:rPr>
                <w:sz w:val="20"/>
                <w:szCs w:val="20"/>
              </w:rPr>
              <w:t>388% Надавача фінансових послуг</w:t>
            </w:r>
            <w:r w:rsidRPr="00E12F65">
              <w:rPr>
                <w:sz w:val="20"/>
                <w:szCs w:val="20"/>
              </w:rPr>
              <w:t xml:space="preserve">.   </w:t>
            </w:r>
          </w:p>
        </w:tc>
      </w:tr>
      <w:tr w:rsidR="006B07E9" w:rsidRPr="00AF51F0" w14:paraId="0FD4C913" w14:textId="77777777" w:rsidTr="00F20A89">
        <w:tblPrEx>
          <w:tblCellMar>
            <w:top w:w="0" w:type="dxa"/>
            <w:left w:w="0" w:type="dxa"/>
            <w:right w:w="0" w:type="dxa"/>
          </w:tblCellMar>
        </w:tblPrEx>
        <w:trPr>
          <w:trHeight w:val="412"/>
        </w:trPr>
        <w:tc>
          <w:tcPr>
            <w:tcW w:w="556" w:type="dxa"/>
          </w:tcPr>
          <w:p w14:paraId="0ECB392E" w14:textId="77777777" w:rsidR="006B07E9" w:rsidRPr="00AF51F0" w:rsidRDefault="006B07E9" w:rsidP="006B07E9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009" w:type="dxa"/>
          </w:tcPr>
          <w:p w14:paraId="255D47A5" w14:textId="77777777" w:rsidR="006B07E9" w:rsidRPr="00AF51F0" w:rsidRDefault="006B07E9" w:rsidP="006B07E9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42" w:type="dxa"/>
          </w:tcPr>
          <w:p w14:paraId="069245AF" w14:textId="77777777" w:rsidR="006B07E9" w:rsidRPr="00AF51F0" w:rsidRDefault="006B07E9" w:rsidP="006B07E9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323" w:type="dxa"/>
          </w:tcPr>
          <w:p w14:paraId="3487FBA7" w14:textId="77777777" w:rsidR="006B07E9" w:rsidRPr="00AF51F0" w:rsidRDefault="006B07E9" w:rsidP="006B07E9">
            <w:pPr>
              <w:spacing w:after="0" w:line="259" w:lineRule="auto"/>
              <w:ind w:left="0" w:right="71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322" w:type="dxa"/>
          </w:tcPr>
          <w:p w14:paraId="5FCE0E88" w14:textId="77777777" w:rsidR="006B07E9" w:rsidRPr="00AF51F0" w:rsidRDefault="006B07E9" w:rsidP="006B07E9">
            <w:pPr>
              <w:spacing w:after="0" w:line="259" w:lineRule="auto"/>
              <w:ind w:left="0" w:right="70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60" w:type="dxa"/>
          </w:tcPr>
          <w:p w14:paraId="7F106193" w14:textId="77777777" w:rsidR="006B07E9" w:rsidRPr="00AF51F0" w:rsidRDefault="006B07E9" w:rsidP="006B07E9">
            <w:pPr>
              <w:spacing w:after="0" w:line="259" w:lineRule="auto"/>
              <w:ind w:left="0" w:right="69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06" w:type="dxa"/>
          </w:tcPr>
          <w:p w14:paraId="327C535E" w14:textId="77777777" w:rsidR="006B07E9" w:rsidRPr="00AF51F0" w:rsidRDefault="006B07E9" w:rsidP="006B07E9">
            <w:pPr>
              <w:spacing w:after="0" w:line="259" w:lineRule="auto"/>
              <w:ind w:left="0" w:right="69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8" w:type="dxa"/>
          </w:tcPr>
          <w:p w14:paraId="66970680" w14:textId="77777777" w:rsidR="006B07E9" w:rsidRPr="00AF51F0" w:rsidRDefault="006B07E9" w:rsidP="006B07E9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40" w:type="dxa"/>
          </w:tcPr>
          <w:p w14:paraId="4AE15609" w14:textId="77777777" w:rsidR="006B07E9" w:rsidRPr="00AF51F0" w:rsidRDefault="006B07E9" w:rsidP="006B07E9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675" w:type="dxa"/>
          </w:tcPr>
          <w:p w14:paraId="41AE6293" w14:textId="77777777" w:rsidR="006B07E9" w:rsidRPr="00AF51F0" w:rsidRDefault="006B07E9" w:rsidP="006B07E9">
            <w:pPr>
              <w:spacing w:after="0" w:line="259" w:lineRule="auto"/>
              <w:ind w:left="0" w:right="69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675" w:type="dxa"/>
          </w:tcPr>
          <w:p w14:paraId="5A0869EF" w14:textId="77777777" w:rsidR="006B07E9" w:rsidRPr="00AF51F0" w:rsidRDefault="006B07E9" w:rsidP="006B07E9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14:paraId="713289CF" w14:textId="77777777" w:rsidR="0044664C" w:rsidRPr="00F20A89" w:rsidRDefault="006C3E10" w:rsidP="006C3E10">
      <w:pPr>
        <w:spacing w:after="160" w:line="259" w:lineRule="auto"/>
        <w:ind w:left="0" w:firstLine="0"/>
        <w:jc w:val="left"/>
        <w:rPr>
          <w:sz w:val="24"/>
          <w:szCs w:val="24"/>
        </w:rPr>
      </w:pPr>
      <w:r w:rsidRPr="00F20A89">
        <w:t>ІІ</w:t>
      </w:r>
      <w:r w:rsidR="00E719AE" w:rsidRPr="00F20A89">
        <w:rPr>
          <w:sz w:val="24"/>
          <w:szCs w:val="24"/>
        </w:rPr>
        <w:t>. Розрахунок опосередкованої участі остаточного ключового учасника в юридичній особі (колонка 7 таблиці 1)</w:t>
      </w:r>
    </w:p>
    <w:p w14:paraId="3ADDB4F9" w14:textId="77777777" w:rsidR="0044664C" w:rsidRPr="00F20A89" w:rsidRDefault="00E719AE">
      <w:pPr>
        <w:spacing w:after="3" w:line="270" w:lineRule="auto"/>
        <w:ind w:left="10" w:right="56"/>
        <w:jc w:val="right"/>
        <w:rPr>
          <w:sz w:val="24"/>
          <w:szCs w:val="24"/>
        </w:rPr>
      </w:pPr>
      <w:r w:rsidRPr="00F20A89">
        <w:rPr>
          <w:sz w:val="24"/>
          <w:szCs w:val="24"/>
        </w:rPr>
        <w:t xml:space="preserve">Таблиця 2 </w:t>
      </w:r>
    </w:p>
    <w:tbl>
      <w:tblPr>
        <w:tblStyle w:val="TableGrid"/>
        <w:tblW w:w="14565" w:type="dxa"/>
        <w:tblInd w:w="5" w:type="dxa"/>
        <w:tblCellMar>
          <w:top w:w="9" w:type="dxa"/>
          <w:left w:w="115" w:type="dxa"/>
          <w:right w:w="86" w:type="dxa"/>
        </w:tblCellMar>
        <w:tblLook w:val="04A0" w:firstRow="1" w:lastRow="0" w:firstColumn="1" w:lastColumn="0" w:noHBand="0" w:noVBand="1"/>
      </w:tblPr>
      <w:tblGrid>
        <w:gridCol w:w="698"/>
        <w:gridCol w:w="8999"/>
        <w:gridCol w:w="4868"/>
      </w:tblGrid>
      <w:tr w:rsidR="0044664C" w:rsidRPr="00F20A89" w14:paraId="2FD1B275" w14:textId="77777777">
        <w:trPr>
          <w:trHeight w:val="74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48826" w14:textId="77777777" w:rsidR="0044664C" w:rsidRPr="00F20A89" w:rsidRDefault="00E719AE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F20A89">
              <w:rPr>
                <w:sz w:val="24"/>
                <w:szCs w:val="24"/>
              </w:rPr>
              <w:t xml:space="preserve">№ з/п </w:t>
            </w:r>
          </w:p>
        </w:tc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15E3" w14:textId="77777777" w:rsidR="0044664C" w:rsidRPr="00F20A89" w:rsidRDefault="00E719AE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F20A89">
              <w:rPr>
                <w:sz w:val="24"/>
                <w:szCs w:val="24"/>
              </w:rPr>
              <w:t xml:space="preserve">Прізвище, власне ім’я та по батькові фізичної особи або повне найменування юридичної особи 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C7783" w14:textId="77777777" w:rsidR="0044664C" w:rsidRPr="00F20A89" w:rsidRDefault="00E719AE">
            <w:pPr>
              <w:spacing w:after="0" w:line="259" w:lineRule="auto"/>
              <w:ind w:left="0" w:right="28" w:firstLine="0"/>
              <w:jc w:val="center"/>
              <w:rPr>
                <w:sz w:val="24"/>
                <w:szCs w:val="24"/>
              </w:rPr>
            </w:pPr>
            <w:r w:rsidRPr="00F20A89">
              <w:rPr>
                <w:sz w:val="24"/>
                <w:szCs w:val="24"/>
              </w:rPr>
              <w:t xml:space="preserve">Розрахунок </w:t>
            </w:r>
          </w:p>
        </w:tc>
      </w:tr>
      <w:tr w:rsidR="0044664C" w:rsidRPr="00F20A89" w14:paraId="0063E9F3" w14:textId="77777777">
        <w:trPr>
          <w:trHeight w:val="331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8127D" w14:textId="77777777" w:rsidR="0044664C" w:rsidRPr="00F20A89" w:rsidRDefault="00E719AE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F20A8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A130A" w14:textId="77777777" w:rsidR="0044664C" w:rsidRPr="00F20A89" w:rsidRDefault="00E719AE">
            <w:pPr>
              <w:spacing w:after="0" w:line="259" w:lineRule="auto"/>
              <w:ind w:left="0" w:right="30" w:firstLine="0"/>
              <w:jc w:val="center"/>
              <w:rPr>
                <w:sz w:val="24"/>
                <w:szCs w:val="24"/>
              </w:rPr>
            </w:pPr>
            <w:r w:rsidRPr="00F20A89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92100" w14:textId="77777777" w:rsidR="0044664C" w:rsidRPr="00F20A89" w:rsidRDefault="00E719AE">
            <w:pPr>
              <w:spacing w:after="0" w:line="259" w:lineRule="auto"/>
              <w:ind w:left="0" w:right="28" w:firstLine="0"/>
              <w:jc w:val="center"/>
              <w:rPr>
                <w:sz w:val="24"/>
                <w:szCs w:val="24"/>
              </w:rPr>
            </w:pPr>
            <w:r w:rsidRPr="00F20A89">
              <w:rPr>
                <w:sz w:val="24"/>
                <w:szCs w:val="24"/>
              </w:rPr>
              <w:t xml:space="preserve">3 </w:t>
            </w:r>
          </w:p>
        </w:tc>
      </w:tr>
      <w:tr w:rsidR="0044664C" w:rsidRPr="00F20A89" w14:paraId="2E9D8BF2" w14:textId="77777777">
        <w:trPr>
          <w:trHeight w:val="334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2C6F4" w14:textId="77777777" w:rsidR="0044664C" w:rsidRPr="00F20A89" w:rsidRDefault="00E719AE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F20A89">
              <w:rPr>
                <w:sz w:val="24"/>
                <w:szCs w:val="24"/>
              </w:rPr>
              <w:t xml:space="preserve">1 </w:t>
            </w:r>
          </w:p>
        </w:tc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7308C" w14:textId="77777777" w:rsidR="0044664C" w:rsidRPr="00F20A89" w:rsidRDefault="006C3E10">
            <w:pPr>
              <w:spacing w:after="0" w:line="259" w:lineRule="auto"/>
              <w:ind w:left="39" w:firstLine="0"/>
              <w:jc w:val="center"/>
              <w:rPr>
                <w:sz w:val="24"/>
                <w:szCs w:val="24"/>
              </w:rPr>
            </w:pPr>
            <w:proofErr w:type="spellStart"/>
            <w:r w:rsidRPr="00F20A89">
              <w:rPr>
                <w:sz w:val="24"/>
                <w:szCs w:val="24"/>
              </w:rPr>
              <w:t>Єврохолд</w:t>
            </w:r>
            <w:proofErr w:type="spellEnd"/>
            <w:r w:rsidRPr="00F20A89">
              <w:rPr>
                <w:sz w:val="24"/>
                <w:szCs w:val="24"/>
              </w:rPr>
              <w:t xml:space="preserve"> Болгарія АД (</w:t>
            </w:r>
            <w:proofErr w:type="spellStart"/>
            <w:r w:rsidRPr="00F20A89">
              <w:rPr>
                <w:sz w:val="24"/>
                <w:szCs w:val="24"/>
              </w:rPr>
              <w:t>Eurohold</w:t>
            </w:r>
            <w:proofErr w:type="spellEnd"/>
            <w:r w:rsidRPr="00F20A89">
              <w:rPr>
                <w:sz w:val="24"/>
                <w:szCs w:val="24"/>
              </w:rPr>
              <w:t xml:space="preserve"> </w:t>
            </w:r>
            <w:proofErr w:type="spellStart"/>
            <w:r w:rsidRPr="00F20A89">
              <w:rPr>
                <w:sz w:val="24"/>
                <w:szCs w:val="24"/>
              </w:rPr>
              <w:t>Bulgaria</w:t>
            </w:r>
            <w:proofErr w:type="spellEnd"/>
            <w:r w:rsidRPr="00F20A89">
              <w:rPr>
                <w:sz w:val="24"/>
                <w:szCs w:val="24"/>
              </w:rPr>
              <w:t xml:space="preserve"> SA) </w:t>
            </w:r>
            <w:r w:rsidR="00E719AE" w:rsidRPr="00F20A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E2BA8" w14:textId="77777777" w:rsidR="0044664C" w:rsidRPr="00F20A89" w:rsidRDefault="00AF3DD0" w:rsidP="00AF3DD0">
            <w:pPr>
              <w:spacing w:after="0" w:line="259" w:lineRule="auto"/>
              <w:ind w:left="41" w:firstLine="0"/>
              <w:jc w:val="center"/>
              <w:rPr>
                <w:sz w:val="24"/>
                <w:szCs w:val="24"/>
              </w:rPr>
            </w:pPr>
            <w:r w:rsidRPr="00F20A89">
              <w:rPr>
                <w:sz w:val="24"/>
                <w:szCs w:val="20"/>
              </w:rPr>
              <w:t>99,033011%</w:t>
            </w:r>
          </w:p>
        </w:tc>
      </w:tr>
      <w:tr w:rsidR="006C3E10" w:rsidRPr="00F20A89" w14:paraId="3AC53CF5" w14:textId="77777777">
        <w:trPr>
          <w:trHeight w:val="334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E9A6E" w14:textId="77777777" w:rsidR="006C3E10" w:rsidRPr="00F20A89" w:rsidRDefault="00AF3DD0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F20A89">
              <w:rPr>
                <w:sz w:val="24"/>
                <w:szCs w:val="24"/>
              </w:rPr>
              <w:t>2</w:t>
            </w:r>
          </w:p>
        </w:tc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74DCB" w14:textId="77777777" w:rsidR="006C3E10" w:rsidRPr="00F20A89" w:rsidRDefault="006C3E10">
            <w:pPr>
              <w:spacing w:after="0" w:line="259" w:lineRule="auto"/>
              <w:ind w:left="39" w:firstLine="0"/>
              <w:jc w:val="center"/>
              <w:rPr>
                <w:sz w:val="24"/>
                <w:szCs w:val="24"/>
              </w:rPr>
            </w:pPr>
            <w:proofErr w:type="spellStart"/>
            <w:r w:rsidRPr="00F20A89">
              <w:rPr>
                <w:sz w:val="24"/>
                <w:szCs w:val="24"/>
              </w:rPr>
              <w:t>European</w:t>
            </w:r>
            <w:proofErr w:type="spellEnd"/>
            <w:r w:rsidRPr="00F20A89">
              <w:rPr>
                <w:sz w:val="24"/>
                <w:szCs w:val="24"/>
              </w:rPr>
              <w:t xml:space="preserve"> </w:t>
            </w:r>
            <w:proofErr w:type="spellStart"/>
            <w:r w:rsidRPr="00F20A89">
              <w:rPr>
                <w:sz w:val="24"/>
                <w:szCs w:val="24"/>
              </w:rPr>
              <w:t>Bank</w:t>
            </w:r>
            <w:proofErr w:type="spellEnd"/>
            <w:r w:rsidRPr="00F20A89">
              <w:rPr>
                <w:sz w:val="24"/>
                <w:szCs w:val="24"/>
              </w:rPr>
              <w:t xml:space="preserve"> </w:t>
            </w:r>
            <w:proofErr w:type="spellStart"/>
            <w:r w:rsidRPr="00F20A89">
              <w:rPr>
                <w:sz w:val="24"/>
                <w:szCs w:val="24"/>
              </w:rPr>
              <w:t>for</w:t>
            </w:r>
            <w:proofErr w:type="spellEnd"/>
            <w:r w:rsidRPr="00F20A89">
              <w:rPr>
                <w:sz w:val="24"/>
                <w:szCs w:val="24"/>
              </w:rPr>
              <w:t xml:space="preserve"> </w:t>
            </w:r>
            <w:proofErr w:type="spellStart"/>
            <w:r w:rsidRPr="00F20A89">
              <w:rPr>
                <w:sz w:val="24"/>
                <w:szCs w:val="24"/>
              </w:rPr>
              <w:t>Reconstruction</w:t>
            </w:r>
            <w:proofErr w:type="spellEnd"/>
            <w:r w:rsidRPr="00F20A89">
              <w:rPr>
                <w:sz w:val="24"/>
                <w:szCs w:val="24"/>
              </w:rPr>
              <w:t xml:space="preserve"> </w:t>
            </w:r>
            <w:proofErr w:type="spellStart"/>
            <w:r w:rsidRPr="00F20A89">
              <w:rPr>
                <w:sz w:val="24"/>
                <w:szCs w:val="24"/>
              </w:rPr>
              <w:t>and</w:t>
            </w:r>
            <w:proofErr w:type="spellEnd"/>
            <w:r w:rsidRPr="00F20A89">
              <w:rPr>
                <w:sz w:val="24"/>
                <w:szCs w:val="24"/>
              </w:rPr>
              <w:t xml:space="preserve"> </w:t>
            </w:r>
            <w:proofErr w:type="spellStart"/>
            <w:r w:rsidRPr="00F20A89">
              <w:rPr>
                <w:sz w:val="24"/>
                <w:szCs w:val="24"/>
              </w:rPr>
              <w:t>Development</w:t>
            </w:r>
            <w:proofErr w:type="spellEnd"/>
            <w:r w:rsidRPr="00F20A89">
              <w:rPr>
                <w:sz w:val="24"/>
                <w:szCs w:val="24"/>
              </w:rPr>
              <w:t xml:space="preserve"> (EBRD) (Європейський Банк Реконструкції та Розвитку (ЄБРР))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4AE0" w14:textId="77777777" w:rsidR="006C3E10" w:rsidRPr="00F20A89" w:rsidRDefault="00692385">
            <w:pPr>
              <w:spacing w:after="0" w:line="259" w:lineRule="auto"/>
              <w:ind w:left="41" w:firstLine="0"/>
              <w:jc w:val="center"/>
              <w:rPr>
                <w:sz w:val="24"/>
                <w:szCs w:val="24"/>
              </w:rPr>
            </w:pPr>
            <w:r w:rsidRPr="00F20A89">
              <w:rPr>
                <w:sz w:val="24"/>
                <w:szCs w:val="24"/>
              </w:rPr>
              <w:t>(95,394623+ 3,638388) Х 0,9999998) Х 0,099 = 9,804266%</w:t>
            </w:r>
          </w:p>
        </w:tc>
      </w:tr>
      <w:tr w:rsidR="006C3E10" w:rsidRPr="00F20A89" w14:paraId="4982EA87" w14:textId="77777777">
        <w:trPr>
          <w:trHeight w:val="334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044B7" w14:textId="77777777" w:rsidR="006C3E10" w:rsidRPr="00F20A89" w:rsidRDefault="00AF3DD0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F20A89">
              <w:rPr>
                <w:sz w:val="24"/>
                <w:szCs w:val="24"/>
              </w:rPr>
              <w:t>3</w:t>
            </w:r>
          </w:p>
        </w:tc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905C8" w14:textId="77777777" w:rsidR="006C3E10" w:rsidRPr="00F20A89" w:rsidRDefault="006C3E10">
            <w:pPr>
              <w:spacing w:after="0" w:line="259" w:lineRule="auto"/>
              <w:ind w:left="39" w:firstLine="0"/>
              <w:jc w:val="center"/>
              <w:rPr>
                <w:sz w:val="24"/>
                <w:szCs w:val="24"/>
              </w:rPr>
            </w:pPr>
            <w:proofErr w:type="spellStart"/>
            <w:r w:rsidRPr="00F20A89">
              <w:rPr>
                <w:sz w:val="24"/>
                <w:szCs w:val="24"/>
              </w:rPr>
              <w:t>Мінчев</w:t>
            </w:r>
            <w:proofErr w:type="spellEnd"/>
            <w:r w:rsidRPr="00F20A89">
              <w:rPr>
                <w:sz w:val="24"/>
                <w:szCs w:val="24"/>
              </w:rPr>
              <w:t xml:space="preserve"> </w:t>
            </w:r>
            <w:proofErr w:type="spellStart"/>
            <w:r w:rsidRPr="00F20A89">
              <w:rPr>
                <w:sz w:val="24"/>
                <w:szCs w:val="24"/>
              </w:rPr>
              <w:t>Асен</w:t>
            </w:r>
            <w:proofErr w:type="spellEnd"/>
            <w:r w:rsidRPr="00F20A89">
              <w:rPr>
                <w:sz w:val="24"/>
                <w:szCs w:val="24"/>
              </w:rPr>
              <w:t xml:space="preserve"> </w:t>
            </w:r>
            <w:proofErr w:type="spellStart"/>
            <w:r w:rsidRPr="00F20A89">
              <w:rPr>
                <w:sz w:val="24"/>
                <w:szCs w:val="24"/>
              </w:rPr>
              <w:t>Мінчев</w:t>
            </w:r>
            <w:proofErr w:type="spellEnd"/>
            <w:r w:rsidRPr="00F20A89">
              <w:rPr>
                <w:sz w:val="24"/>
                <w:szCs w:val="24"/>
              </w:rPr>
              <w:t xml:space="preserve"> (</w:t>
            </w:r>
            <w:proofErr w:type="spellStart"/>
            <w:r w:rsidRPr="00F20A89">
              <w:rPr>
                <w:sz w:val="24"/>
                <w:szCs w:val="24"/>
              </w:rPr>
              <w:t>Minchev</w:t>
            </w:r>
            <w:proofErr w:type="spellEnd"/>
            <w:r w:rsidRPr="00F20A89">
              <w:rPr>
                <w:sz w:val="24"/>
                <w:szCs w:val="24"/>
              </w:rPr>
              <w:t xml:space="preserve"> </w:t>
            </w:r>
            <w:proofErr w:type="spellStart"/>
            <w:r w:rsidRPr="00F20A89">
              <w:rPr>
                <w:sz w:val="24"/>
                <w:szCs w:val="24"/>
              </w:rPr>
              <w:t>Asen</w:t>
            </w:r>
            <w:proofErr w:type="spellEnd"/>
            <w:r w:rsidRPr="00F20A89">
              <w:rPr>
                <w:sz w:val="24"/>
                <w:szCs w:val="24"/>
              </w:rPr>
              <w:t xml:space="preserve"> </w:t>
            </w:r>
            <w:proofErr w:type="spellStart"/>
            <w:r w:rsidRPr="00F20A89">
              <w:rPr>
                <w:sz w:val="24"/>
                <w:szCs w:val="24"/>
              </w:rPr>
              <w:t>Minchev</w:t>
            </w:r>
            <w:proofErr w:type="spellEnd"/>
            <w:r w:rsidRPr="00F20A89">
              <w:rPr>
                <w:sz w:val="24"/>
                <w:szCs w:val="24"/>
              </w:rPr>
              <w:t>)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FB9AD" w14:textId="77777777" w:rsidR="006C3E10" w:rsidRPr="00F20A89" w:rsidRDefault="006C3E10">
            <w:pPr>
              <w:spacing w:after="0" w:line="259" w:lineRule="auto"/>
              <w:ind w:left="41" w:firstLine="0"/>
              <w:jc w:val="center"/>
              <w:rPr>
                <w:sz w:val="24"/>
                <w:szCs w:val="24"/>
              </w:rPr>
            </w:pPr>
            <w:r w:rsidRPr="00F20A89">
              <w:rPr>
                <w:sz w:val="24"/>
                <w:szCs w:val="24"/>
              </w:rPr>
              <w:t>5,744905Х0,0000001 = 0,0000005744905</w:t>
            </w:r>
          </w:p>
        </w:tc>
      </w:tr>
      <w:tr w:rsidR="006C3E10" w:rsidRPr="00F20A89" w14:paraId="37A6F1E3" w14:textId="77777777">
        <w:trPr>
          <w:trHeight w:val="334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C1E3A" w14:textId="77777777" w:rsidR="006C3E10" w:rsidRPr="00F20A89" w:rsidRDefault="00AF3DD0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F20A89">
              <w:rPr>
                <w:sz w:val="24"/>
                <w:szCs w:val="24"/>
              </w:rPr>
              <w:t>4</w:t>
            </w:r>
          </w:p>
        </w:tc>
        <w:tc>
          <w:tcPr>
            <w:tcW w:w="8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06119" w14:textId="77777777" w:rsidR="006C3E10" w:rsidRPr="00F20A89" w:rsidRDefault="006C3E10">
            <w:pPr>
              <w:spacing w:after="0" w:line="259" w:lineRule="auto"/>
              <w:ind w:left="39" w:firstLine="0"/>
              <w:jc w:val="center"/>
              <w:rPr>
                <w:sz w:val="24"/>
                <w:szCs w:val="24"/>
              </w:rPr>
            </w:pPr>
            <w:r w:rsidRPr="00F20A89">
              <w:rPr>
                <w:sz w:val="24"/>
                <w:szCs w:val="24"/>
              </w:rPr>
              <w:t xml:space="preserve">Ніколов Янко Георгіев (Nikolov Yanko </w:t>
            </w:r>
            <w:proofErr w:type="spellStart"/>
            <w:r w:rsidRPr="00F20A89">
              <w:rPr>
                <w:sz w:val="24"/>
                <w:szCs w:val="24"/>
              </w:rPr>
              <w:t>Georgiev</w:t>
            </w:r>
            <w:proofErr w:type="spellEnd"/>
            <w:r w:rsidRPr="00F20A89">
              <w:rPr>
                <w:sz w:val="24"/>
                <w:szCs w:val="24"/>
              </w:rPr>
              <w:t>)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9E79A" w14:textId="77777777" w:rsidR="006C3E10" w:rsidRPr="00F20A89" w:rsidRDefault="00F20A89" w:rsidP="00F20A89">
            <w:pPr>
              <w:spacing w:after="0" w:line="259" w:lineRule="auto"/>
              <w:ind w:left="41" w:firstLine="0"/>
              <w:jc w:val="center"/>
              <w:rPr>
                <w:sz w:val="24"/>
                <w:szCs w:val="24"/>
              </w:rPr>
            </w:pPr>
            <w:r w:rsidRPr="00F20A89">
              <w:rPr>
                <w:sz w:val="24"/>
                <w:szCs w:val="24"/>
              </w:rPr>
              <w:t>0,3933309</w:t>
            </w:r>
            <w:r w:rsidR="006C3E10" w:rsidRPr="00F20A89">
              <w:rPr>
                <w:sz w:val="24"/>
                <w:szCs w:val="24"/>
              </w:rPr>
              <w:t>Х0,0000001 = 0,000000</w:t>
            </w:r>
            <w:r w:rsidRPr="00F20A89">
              <w:rPr>
                <w:sz w:val="24"/>
                <w:szCs w:val="24"/>
              </w:rPr>
              <w:t>3933309</w:t>
            </w:r>
          </w:p>
        </w:tc>
      </w:tr>
    </w:tbl>
    <w:p w14:paraId="4FE103EB" w14:textId="77777777" w:rsidR="00F83AE7" w:rsidRDefault="00E719AE">
      <w:pPr>
        <w:spacing w:after="0" w:line="259" w:lineRule="auto"/>
        <w:ind w:left="0" w:firstLine="0"/>
        <w:jc w:val="left"/>
      </w:pPr>
      <w:r w:rsidRPr="00F20A89">
        <w:t xml:space="preserve">  </w:t>
      </w:r>
    </w:p>
    <w:p w14:paraId="35C1E573" w14:textId="77777777" w:rsidR="00F83AE7" w:rsidRDefault="00F83AE7">
      <w:pPr>
        <w:spacing w:after="0" w:line="259" w:lineRule="auto"/>
        <w:ind w:left="0" w:firstLine="0"/>
        <w:jc w:val="left"/>
      </w:pPr>
    </w:p>
    <w:p w14:paraId="1A9A5D5F" w14:textId="0660419D" w:rsidR="0044664C" w:rsidRPr="00F83AE7" w:rsidRDefault="006C3E10" w:rsidP="00F83AE7">
      <w:pPr>
        <w:spacing w:after="0" w:line="259" w:lineRule="auto"/>
        <w:ind w:left="0" w:firstLine="0"/>
        <w:jc w:val="center"/>
        <w:rPr>
          <w:sz w:val="24"/>
          <w:szCs w:val="24"/>
        </w:rPr>
      </w:pPr>
      <w:r w:rsidRPr="00F83AE7">
        <w:rPr>
          <w:sz w:val="24"/>
          <w:szCs w:val="24"/>
        </w:rPr>
        <w:t>Голова Правління</w:t>
      </w:r>
      <w:r w:rsidRPr="00F83AE7">
        <w:rPr>
          <w:sz w:val="24"/>
          <w:szCs w:val="24"/>
        </w:rPr>
        <w:tab/>
      </w:r>
      <w:r w:rsidRPr="00F83AE7">
        <w:rPr>
          <w:sz w:val="24"/>
          <w:szCs w:val="24"/>
        </w:rPr>
        <w:tab/>
      </w:r>
      <w:r w:rsidRPr="00F83AE7">
        <w:rPr>
          <w:sz w:val="24"/>
          <w:szCs w:val="24"/>
        </w:rPr>
        <w:tab/>
      </w:r>
      <w:r w:rsidRPr="00F83AE7">
        <w:rPr>
          <w:sz w:val="24"/>
          <w:szCs w:val="24"/>
        </w:rPr>
        <w:tab/>
      </w:r>
      <w:r w:rsidRPr="00F83AE7">
        <w:rPr>
          <w:sz w:val="24"/>
          <w:szCs w:val="24"/>
        </w:rPr>
        <w:tab/>
      </w:r>
      <w:r w:rsidRPr="00F83AE7">
        <w:rPr>
          <w:sz w:val="24"/>
          <w:szCs w:val="24"/>
        </w:rPr>
        <w:tab/>
      </w:r>
      <w:r w:rsidRPr="00F83AE7">
        <w:rPr>
          <w:sz w:val="24"/>
          <w:szCs w:val="24"/>
        </w:rPr>
        <w:tab/>
      </w:r>
      <w:r w:rsidRPr="00F83AE7">
        <w:rPr>
          <w:sz w:val="24"/>
          <w:szCs w:val="24"/>
        </w:rPr>
        <w:tab/>
      </w:r>
      <w:r w:rsidRPr="00F83AE7">
        <w:rPr>
          <w:sz w:val="24"/>
          <w:szCs w:val="24"/>
        </w:rPr>
        <w:tab/>
      </w:r>
      <w:r w:rsidRPr="00F83AE7">
        <w:rPr>
          <w:sz w:val="24"/>
          <w:szCs w:val="24"/>
        </w:rPr>
        <w:tab/>
      </w:r>
      <w:r w:rsidRPr="00F83AE7">
        <w:rPr>
          <w:sz w:val="24"/>
          <w:szCs w:val="24"/>
        </w:rPr>
        <w:tab/>
      </w:r>
      <w:r w:rsidRPr="00F83AE7">
        <w:rPr>
          <w:sz w:val="24"/>
          <w:szCs w:val="24"/>
        </w:rPr>
        <w:tab/>
      </w:r>
      <w:r w:rsidRPr="00F83AE7">
        <w:rPr>
          <w:sz w:val="24"/>
          <w:szCs w:val="24"/>
        </w:rPr>
        <w:tab/>
        <w:t>Андрій ЯКОВЕНКО</w:t>
      </w:r>
    </w:p>
    <w:p w14:paraId="2EFCB910" w14:textId="27194C43" w:rsidR="0044664C" w:rsidRPr="00F20A89" w:rsidRDefault="00F83AE7">
      <w:pPr>
        <w:spacing w:after="30"/>
        <w:ind w:left="-5"/>
      </w:pPr>
      <w:r>
        <w:rPr>
          <w:sz w:val="22"/>
        </w:rPr>
        <w:t xml:space="preserve">               д</w:t>
      </w:r>
      <w:r w:rsidRPr="00F83AE7">
        <w:rPr>
          <w:sz w:val="22"/>
        </w:rPr>
        <w:t>іє на</w:t>
      </w:r>
      <w:r>
        <w:rPr>
          <w:sz w:val="22"/>
        </w:rPr>
        <w:t xml:space="preserve"> підставі Статуту</w:t>
      </w:r>
      <w:r w:rsidR="00E719AE" w:rsidRPr="00F20A89">
        <w:t xml:space="preserve">            </w:t>
      </w:r>
      <w:r w:rsidR="008F2DB7" w:rsidRPr="00F20A89">
        <w:t xml:space="preserve">     </w:t>
      </w:r>
      <w:r>
        <w:t xml:space="preserve">                            </w:t>
      </w:r>
      <w:r w:rsidR="008F2DB7" w:rsidRPr="00F20A89">
        <w:t xml:space="preserve">    ______________________</w:t>
      </w:r>
    </w:p>
    <w:p w14:paraId="30547374" w14:textId="77777777" w:rsidR="008F2DB7" w:rsidRPr="00F20A89" w:rsidRDefault="00E719AE">
      <w:pPr>
        <w:spacing w:after="34"/>
        <w:ind w:left="-5" w:right="203"/>
        <w:rPr>
          <w:sz w:val="20"/>
          <w:szCs w:val="20"/>
        </w:rPr>
      </w:pPr>
      <w:r w:rsidRPr="00F20A89">
        <w:rPr>
          <w:sz w:val="20"/>
          <w:szCs w:val="20"/>
        </w:rPr>
        <w:t xml:space="preserve">(посада/реквізити документа, на підставі                          </w:t>
      </w:r>
      <w:r w:rsidR="008F2DB7" w:rsidRPr="00F20A89">
        <w:rPr>
          <w:sz w:val="20"/>
          <w:szCs w:val="20"/>
        </w:rPr>
        <w:t xml:space="preserve">                                         </w:t>
      </w:r>
      <w:r w:rsidRPr="00F20A89">
        <w:rPr>
          <w:sz w:val="20"/>
          <w:szCs w:val="20"/>
        </w:rPr>
        <w:t xml:space="preserve">      (підпис)               </w:t>
      </w:r>
      <w:r w:rsidR="008F2DB7" w:rsidRPr="00F20A89">
        <w:rPr>
          <w:sz w:val="20"/>
          <w:szCs w:val="20"/>
        </w:rPr>
        <w:t xml:space="preserve">                           </w:t>
      </w:r>
      <w:r w:rsidRPr="00F20A89">
        <w:rPr>
          <w:sz w:val="20"/>
          <w:szCs w:val="20"/>
        </w:rPr>
        <w:t xml:space="preserve">                      (власне ім’я та прізвище)</w:t>
      </w:r>
    </w:p>
    <w:p w14:paraId="32DDFE69" w14:textId="77777777" w:rsidR="00F20A89" w:rsidRDefault="00E719AE" w:rsidP="00F20A89">
      <w:pPr>
        <w:spacing w:after="34"/>
        <w:ind w:left="-5" w:right="203"/>
        <w:rPr>
          <w:sz w:val="20"/>
          <w:szCs w:val="20"/>
        </w:rPr>
      </w:pPr>
      <w:r w:rsidRPr="00F20A89">
        <w:rPr>
          <w:sz w:val="20"/>
          <w:szCs w:val="20"/>
        </w:rPr>
        <w:t>якого діє відповідальна особа/ уповноважений представник юридичної особи)</w:t>
      </w:r>
    </w:p>
    <w:p w14:paraId="0975D0BF" w14:textId="4C85A893" w:rsidR="006C3E10" w:rsidRPr="006C3E10" w:rsidRDefault="00F83AE7" w:rsidP="006C3E10">
      <w:pPr>
        <w:spacing w:after="4611"/>
        <w:ind w:left="-5"/>
        <w:rPr>
          <w:sz w:val="20"/>
          <w:szCs w:val="20"/>
        </w:rPr>
      </w:pPr>
      <w:r>
        <w:rPr>
          <w:sz w:val="20"/>
          <w:szCs w:val="20"/>
        </w:rPr>
        <w:t>10</w:t>
      </w:r>
      <w:r w:rsidR="00AF51F0">
        <w:rPr>
          <w:sz w:val="20"/>
          <w:szCs w:val="20"/>
        </w:rPr>
        <w:t>.04</w:t>
      </w:r>
      <w:r w:rsidR="006C3E10">
        <w:rPr>
          <w:sz w:val="20"/>
          <w:szCs w:val="20"/>
        </w:rPr>
        <w:t>.2025</w:t>
      </w:r>
    </w:p>
    <w:sectPr w:rsidR="006C3E10" w:rsidRPr="006C3E10" w:rsidSect="006C3E10">
      <w:headerReference w:type="even" r:id="rId7"/>
      <w:headerReference w:type="default" r:id="rId8"/>
      <w:headerReference w:type="first" r:id="rId9"/>
      <w:pgSz w:w="16841" w:h="11911" w:orient="landscape"/>
      <w:pgMar w:top="363" w:right="494" w:bottom="66" w:left="1702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5ACB0" w14:textId="77777777" w:rsidR="0044739F" w:rsidRDefault="0044739F">
      <w:pPr>
        <w:spacing w:after="0" w:line="240" w:lineRule="auto"/>
      </w:pPr>
      <w:r>
        <w:separator/>
      </w:r>
    </w:p>
  </w:endnote>
  <w:endnote w:type="continuationSeparator" w:id="0">
    <w:p w14:paraId="0D1BFF68" w14:textId="77777777" w:rsidR="0044739F" w:rsidRDefault="0044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94622" w14:textId="77777777" w:rsidR="0044739F" w:rsidRDefault="0044739F">
      <w:pPr>
        <w:spacing w:after="0" w:line="240" w:lineRule="auto"/>
      </w:pPr>
      <w:r>
        <w:separator/>
      </w:r>
    </w:p>
  </w:footnote>
  <w:footnote w:type="continuationSeparator" w:id="0">
    <w:p w14:paraId="00511A16" w14:textId="77777777" w:rsidR="0044739F" w:rsidRDefault="00447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0B934" w14:textId="77777777" w:rsidR="0044664C" w:rsidRPr="00D02780" w:rsidRDefault="00E719AE" w:rsidP="00D02780">
    <w:pPr>
      <w:pStyle w:val="a5"/>
    </w:pPr>
    <w:r w:rsidRPr="00D02780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79F37" w14:textId="77777777" w:rsidR="0044664C" w:rsidRPr="00D02780" w:rsidRDefault="00E719AE" w:rsidP="00D02780">
    <w:pPr>
      <w:pStyle w:val="a5"/>
    </w:pPr>
    <w:r w:rsidRPr="00D02780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F8B6D" w14:textId="77777777" w:rsidR="0044664C" w:rsidRDefault="0044664C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51250"/>
    <w:multiLevelType w:val="hybridMultilevel"/>
    <w:tmpl w:val="F9109E72"/>
    <w:lvl w:ilvl="0" w:tplc="C34836DC">
      <w:start w:val="6"/>
      <w:numFmt w:val="decimal"/>
      <w:lvlText w:val="%1."/>
      <w:lvlJc w:val="left"/>
      <w:pPr>
        <w:ind w:left="708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FA2D3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F26BB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B447A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FE751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A4BE3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AC463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FD8A82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1CF10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2408F1"/>
    <w:multiLevelType w:val="hybridMultilevel"/>
    <w:tmpl w:val="C0B4545E"/>
    <w:lvl w:ilvl="0" w:tplc="60C0219C">
      <w:start w:val="1"/>
      <w:numFmt w:val="decimal"/>
      <w:lvlText w:val="%1)"/>
      <w:lvlJc w:val="left"/>
      <w:pPr>
        <w:ind w:left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4BA7F4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788AF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128B7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D4655D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4CB88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B0FF1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C68F0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4C49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973F79"/>
    <w:multiLevelType w:val="hybridMultilevel"/>
    <w:tmpl w:val="6E12440C"/>
    <w:lvl w:ilvl="0" w:tplc="E2C076F0">
      <w:start w:val="1"/>
      <w:numFmt w:val="decimal"/>
      <w:lvlText w:val="%1)"/>
      <w:lvlJc w:val="left"/>
      <w:pPr>
        <w:ind w:left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909726">
      <w:start w:val="1"/>
      <w:numFmt w:val="lowerLetter"/>
      <w:lvlText w:val="%2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4EAA194">
      <w:start w:val="1"/>
      <w:numFmt w:val="lowerRoman"/>
      <w:lvlText w:val="%3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E41AA2">
      <w:start w:val="1"/>
      <w:numFmt w:val="decimal"/>
      <w:lvlText w:val="%4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B883DC">
      <w:start w:val="1"/>
      <w:numFmt w:val="lowerLetter"/>
      <w:lvlText w:val="%5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E217A8">
      <w:start w:val="1"/>
      <w:numFmt w:val="lowerRoman"/>
      <w:lvlText w:val="%6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AAD1EE">
      <w:start w:val="1"/>
      <w:numFmt w:val="decimal"/>
      <w:lvlText w:val="%7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BCBC8C">
      <w:start w:val="1"/>
      <w:numFmt w:val="lowerLetter"/>
      <w:lvlText w:val="%8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9EBC0E">
      <w:start w:val="1"/>
      <w:numFmt w:val="lowerRoman"/>
      <w:lvlText w:val="%9"/>
      <w:lvlJc w:val="left"/>
      <w:pPr>
        <w:ind w:left="6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9A2AE8"/>
    <w:multiLevelType w:val="hybridMultilevel"/>
    <w:tmpl w:val="4E907786"/>
    <w:lvl w:ilvl="0" w:tplc="FBE67288">
      <w:start w:val="1"/>
      <w:numFmt w:val="decimal"/>
      <w:lvlText w:val="%1."/>
      <w:lvlJc w:val="left"/>
      <w:pPr>
        <w:ind w:left="346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E50276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5A64C4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8FEC46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092D8D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760BD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BC534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C2317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92CEE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2F4566D"/>
    <w:multiLevelType w:val="hybridMultilevel"/>
    <w:tmpl w:val="05608AE2"/>
    <w:lvl w:ilvl="0" w:tplc="7D9AF418">
      <w:start w:val="4"/>
      <w:numFmt w:val="decimal"/>
      <w:lvlText w:val="%1."/>
      <w:lvlJc w:val="left"/>
      <w:pPr>
        <w:ind w:left="346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7E194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0877B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8A79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7C2F2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B2E0A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50423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2C9B8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2E31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84D43B7"/>
    <w:multiLevelType w:val="hybridMultilevel"/>
    <w:tmpl w:val="FEEC4EA6"/>
    <w:lvl w:ilvl="0" w:tplc="3ED27276">
      <w:start w:val="1"/>
      <w:numFmt w:val="decimal"/>
      <w:lvlText w:val="%1)"/>
      <w:lvlJc w:val="left"/>
      <w:pPr>
        <w:ind w:left="1013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8"/>
        <w:u w:val="none" w:color="000000"/>
        <w:vertAlign w:val="baseli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94D5D"/>
    <w:multiLevelType w:val="hybridMultilevel"/>
    <w:tmpl w:val="6A7EE6B4"/>
    <w:lvl w:ilvl="0" w:tplc="EB2E0C26">
      <w:start w:val="1"/>
      <w:numFmt w:val="decimal"/>
      <w:lvlText w:val="%1)"/>
      <w:lvlJc w:val="left"/>
      <w:pPr>
        <w:ind w:left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0C118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BC5C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E2932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0207A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AB0D82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865BC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E84721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E8E62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25A5CE3"/>
    <w:multiLevelType w:val="hybridMultilevel"/>
    <w:tmpl w:val="97D8D50C"/>
    <w:lvl w:ilvl="0" w:tplc="C2EAFB96">
      <w:start w:val="1"/>
      <w:numFmt w:val="decimal"/>
      <w:lvlText w:val="%1)"/>
      <w:lvlJc w:val="left"/>
      <w:pPr>
        <w:ind w:left="1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121F1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D0000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C8FAD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DE40F2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816AFE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8E48AB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EE0F3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6EC31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4C64EEF"/>
    <w:multiLevelType w:val="hybridMultilevel"/>
    <w:tmpl w:val="33DE40B6"/>
    <w:lvl w:ilvl="0" w:tplc="B7BC5E40">
      <w:start w:val="1"/>
      <w:numFmt w:val="decimal"/>
      <w:lvlText w:val="%1)"/>
      <w:lvlJc w:val="left"/>
      <w:pPr>
        <w:ind w:left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E2F46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C0233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4E6091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74C8C5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2215D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32C1B3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B8487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AA88E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1DA01CD"/>
    <w:multiLevelType w:val="hybridMultilevel"/>
    <w:tmpl w:val="8A0A26A8"/>
    <w:lvl w:ilvl="0" w:tplc="6DBC5834">
      <w:start w:val="7"/>
      <w:numFmt w:val="decimal"/>
      <w:lvlText w:val="%1)"/>
      <w:lvlJc w:val="left"/>
      <w:pPr>
        <w:ind w:left="1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75E883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6AC55E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AC3E9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8FC2C2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1AADC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D4686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47C23E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8464F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86589520">
    <w:abstractNumId w:val="3"/>
  </w:num>
  <w:num w:numId="2" w16cid:durableId="1261714362">
    <w:abstractNumId w:val="1"/>
  </w:num>
  <w:num w:numId="3" w16cid:durableId="925771241">
    <w:abstractNumId w:val="7"/>
  </w:num>
  <w:num w:numId="4" w16cid:durableId="1417289692">
    <w:abstractNumId w:val="9"/>
  </w:num>
  <w:num w:numId="5" w16cid:durableId="2044086109">
    <w:abstractNumId w:val="4"/>
  </w:num>
  <w:num w:numId="6" w16cid:durableId="1830095385">
    <w:abstractNumId w:val="2"/>
  </w:num>
  <w:num w:numId="7" w16cid:durableId="1328246833">
    <w:abstractNumId w:val="0"/>
  </w:num>
  <w:num w:numId="8" w16cid:durableId="645088325">
    <w:abstractNumId w:val="6"/>
  </w:num>
  <w:num w:numId="9" w16cid:durableId="831071376">
    <w:abstractNumId w:val="8"/>
  </w:num>
  <w:num w:numId="10" w16cid:durableId="852181268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64C"/>
    <w:rsid w:val="00081B2D"/>
    <w:rsid w:val="001F2C09"/>
    <w:rsid w:val="00332F21"/>
    <w:rsid w:val="0043247E"/>
    <w:rsid w:val="0044664C"/>
    <w:rsid w:val="0044739F"/>
    <w:rsid w:val="00692385"/>
    <w:rsid w:val="006A78BE"/>
    <w:rsid w:val="006B07E9"/>
    <w:rsid w:val="006C3E10"/>
    <w:rsid w:val="008F2DB7"/>
    <w:rsid w:val="00AF3DD0"/>
    <w:rsid w:val="00AF51F0"/>
    <w:rsid w:val="00BE7D8B"/>
    <w:rsid w:val="00C27119"/>
    <w:rsid w:val="00D02780"/>
    <w:rsid w:val="00DE4FD8"/>
    <w:rsid w:val="00E12F65"/>
    <w:rsid w:val="00E719AE"/>
    <w:rsid w:val="00F20A89"/>
    <w:rsid w:val="00F8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1D6C1"/>
  <w15:docId w15:val="{3001598D-93F2-427F-BD72-049954F23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24" w:line="248" w:lineRule="auto"/>
      <w:ind w:left="11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4"/>
      <w:jc w:val="center"/>
      <w:outlineLvl w:val="0"/>
    </w:pPr>
    <w:rPr>
      <w:rFonts w:ascii="Times New Roman" w:eastAsia="Times New Roman" w:hAnsi="Times New Roman" w:cs="Times New Roman"/>
      <w:b/>
      <w:color w:val="0066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66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D027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02780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header"/>
    <w:basedOn w:val="a"/>
    <w:link w:val="a6"/>
    <w:uiPriority w:val="99"/>
    <w:semiHidden/>
    <w:unhideWhenUsed/>
    <w:rsid w:val="00D027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02780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List Paragraph"/>
    <w:basedOn w:val="a"/>
    <w:uiPriority w:val="34"/>
    <w:qFormat/>
    <w:rsid w:val="00DE4FD8"/>
    <w:pPr>
      <w:ind w:left="720"/>
      <w:contextualSpacing/>
    </w:pPr>
  </w:style>
  <w:style w:type="character" w:customStyle="1" w:styleId="st121">
    <w:name w:val="st121"/>
    <w:uiPriority w:val="99"/>
    <w:rsid w:val="00DE4FD8"/>
    <w:rPr>
      <w:i/>
      <w:iCs/>
      <w:color w:val="000000"/>
    </w:rPr>
  </w:style>
  <w:style w:type="character" w:customStyle="1" w:styleId="st46">
    <w:name w:val="st46"/>
    <w:uiPriority w:val="99"/>
    <w:rsid w:val="00DE4FD8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675</Words>
  <Characters>3849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Лук'янчук Волдимирович</dc:creator>
  <cp:keywords/>
  <cp:lastModifiedBy>Коханчук Галина</cp:lastModifiedBy>
  <cp:revision>3</cp:revision>
  <dcterms:created xsi:type="dcterms:W3CDTF">2025-04-10T10:39:00Z</dcterms:created>
  <dcterms:modified xsi:type="dcterms:W3CDTF">2025-04-10T12:09:00Z</dcterms:modified>
</cp:coreProperties>
</file>