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7"/>
          <w:rFonts w:ascii="MyriadPro" w:hAnsi="MyriadPro" w:hint="eastAsia"/>
          <w:color w:val="000000"/>
          <w:sz w:val="21"/>
          <w:szCs w:val="21"/>
          <w:bdr w:val="none" w:sz="0" w:space="0" w:color="auto" w:frame="1"/>
          <w:lang w:val="uk-UA"/>
        </w:rPr>
        <w:t>П</w:t>
      </w: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  <w:lang w:val="uk-UA"/>
        </w:rPr>
        <w:t xml:space="preserve">овідомлення </w:t>
      </w:r>
      <w:bookmarkStart w:id="0" w:name="_GoBack"/>
      <w:bookmarkEnd w:id="0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про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проведення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Повне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Місцезнаходження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згідно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 з 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його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Статутом:</w:t>
      </w:r>
      <w:r>
        <w:rPr>
          <w:rFonts w:ascii="MyriadPro" w:hAnsi="MyriadPro"/>
          <w:color w:val="000000"/>
          <w:sz w:val="21"/>
          <w:szCs w:val="21"/>
        </w:rPr>
        <w:t> 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>, 102, м. 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>, 03150.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Шановні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акціонери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!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повідомляє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Вас,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29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о 10.00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годині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102, 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відбудуться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Реєстрація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їхніх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відбудеться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29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з 9.00 год. до 9.45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 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102, 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Реєстрація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їхніх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відбуватиметься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3 (три)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дня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станом на 24.00 </w:t>
      </w:r>
      <w:proofErr w:type="gramStart"/>
      <w:r>
        <w:rPr>
          <w:rFonts w:ascii="MyriadPro" w:hAnsi="MyriadPro"/>
          <w:color w:val="000000"/>
          <w:sz w:val="21"/>
          <w:szCs w:val="21"/>
        </w:rPr>
        <w:t>год.,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23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собі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паспорт,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паспорт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довіреність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представляти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інтереси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оформлену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вимогами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чинного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може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бути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відмовлено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реєстраційною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відсутності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ідентифікують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а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документів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підтверджують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відсутності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переліку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участь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складеному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3 (три)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робочих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дня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станом на 24.00 год. 23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підготовки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ознайомитись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денного.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надіслання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даного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28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(</w:t>
      </w:r>
      <w:proofErr w:type="spellStart"/>
      <w:r>
        <w:rPr>
          <w:rFonts w:ascii="MyriadPro" w:hAnsi="MyriadPro"/>
          <w:color w:val="000000"/>
          <w:sz w:val="21"/>
          <w:szCs w:val="21"/>
        </w:rPr>
        <w:t>включно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понеділка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п’ятницю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з 10.00 год. до 11.00 год.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буд. 102 (зал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»).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Відповідальна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порядок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посадова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особа – 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Волков Олександр Васильович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ним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інша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особа.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29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Перелік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виносяться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голосування</w:t>
      </w:r>
      <w:proofErr w:type="spellEnd"/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(порядок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денний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):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1)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Обрання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лічильної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» 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прийняття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припинення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їх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повноважень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2)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Обрання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секретаря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3)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Затвердження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порядку (регламенту)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проведення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4)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Припинення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повноважень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 “ХДІ </w:t>
      </w:r>
      <w:proofErr w:type="spellStart"/>
      <w:proofErr w:type="gram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“</w:t>
      </w:r>
      <w:proofErr w:type="gram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: Свена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Фоккема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(Голова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Ради),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Девіда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Хулліна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(член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Ради).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5)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Призначення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</w:t>
      </w:r>
      <w:r>
        <w:rPr>
          <w:rFonts w:ascii="MyriadPro" w:hAnsi="MyriadPro"/>
          <w:color w:val="000000"/>
          <w:sz w:val="21"/>
          <w:szCs w:val="2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шляхом кумулятивного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голосування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затвердження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умов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цивільно-правових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договорів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призначеними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членами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Наглядової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Ради, а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також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укладення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 ними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цивільно-правових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proofErr w:type="gram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договорів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..</w:t>
      </w:r>
      <w:proofErr w:type="gramEnd"/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6)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Припинення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повноважень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Ревізійної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 “ХДІ </w:t>
      </w:r>
      <w:proofErr w:type="spellStart"/>
      <w:proofErr w:type="gram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“</w:t>
      </w:r>
      <w:proofErr w:type="gramEnd"/>
      <w:r>
        <w:rPr>
          <w:rFonts w:ascii="MyriadPro" w:hAnsi="MyriadPro"/>
          <w:color w:val="000000"/>
          <w:sz w:val="21"/>
          <w:szCs w:val="21"/>
        </w:rPr>
        <w:t>: </w:t>
      </w: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  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Міхаеля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Шмідт-Розіна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(Голова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Ревізійної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),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Соні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Оберхойзер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(член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Ревізійної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).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7)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Призначення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членів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Ревізійної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шляхом кумулятивного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голосування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8)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Зміна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lastRenderedPageBreak/>
        <w:t>9)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Внесення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змін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до Статуту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 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зв’язку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зі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зміною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приведенням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його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відповідність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чинним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законодавством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шляхом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викладення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новій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редакції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10)          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Внесення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змін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до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внутрішніх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положень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, 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зв’язку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із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перейменуванням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та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затвердженням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Статуту в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новій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редакції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,</w:t>
      </w:r>
      <w:r>
        <w:rPr>
          <w:rFonts w:ascii="MyriadPro" w:hAnsi="MyriadPro"/>
          <w:color w:val="000000"/>
          <w:sz w:val="21"/>
          <w:szCs w:val="21"/>
        </w:rPr>
        <w:t> </w:t>
      </w: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шляхом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викладення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їх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у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новій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редакції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Проекти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рішень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з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проекту порядку денного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1: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1.1.   Обрати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Новоторова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Олександра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Леонідовича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Лагодюка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Євгена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Степановича,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Кустову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Вікторію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Леонідівну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1.2.  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виконання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покладених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обов’язків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обсязі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2: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2.   Обрати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Ковальову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Ірину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Вікторівну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секретарем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 3: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3.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порядок (регламент)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здійснювати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таким </w:t>
      </w:r>
      <w:proofErr w:type="gramStart"/>
      <w:r>
        <w:rPr>
          <w:rFonts w:ascii="MyriadPro" w:hAnsi="MyriadPro"/>
          <w:color w:val="000000"/>
          <w:sz w:val="21"/>
          <w:szCs w:val="21"/>
        </w:rPr>
        <w:t>чином:  з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бюлетенем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доповідей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одного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здійснюється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запропоновану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цілому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;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разі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жодна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запропонованих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набере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кількості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вважається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неприйнятим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частинам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пропозиції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допускається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);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відкриття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gramStart"/>
      <w:r>
        <w:rPr>
          <w:rFonts w:ascii="MyriadPro" w:hAnsi="MyriadPro"/>
          <w:color w:val="000000"/>
          <w:sz w:val="21"/>
          <w:szCs w:val="21"/>
        </w:rPr>
        <w:t>до початку</w:t>
      </w:r>
      <w:proofErr w:type="gramEnd"/>
      <w:r>
        <w:rPr>
          <w:rFonts w:ascii="MyriadPro" w:hAnsi="MyriadPro"/>
          <w:color w:val="000000"/>
          <w:sz w:val="21"/>
          <w:szCs w:val="21"/>
        </w:rPr>
        <w:t xml:space="preserve"> і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кожен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подати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заявку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стосуються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денного.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завершення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кожного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втрачають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можливість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заявки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таких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прізвища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по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батькові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застосовно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і теми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Одержані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секретарем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заявки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Кожен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на один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одного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при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цьому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кількість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обмежується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стосуватися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винятково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подано заявку, та теми,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заявці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тривати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довше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трьох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Жоден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без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дозволу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. 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перервати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виступу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дотримується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регламенту,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позбавити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слова.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виключно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письмовій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із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зазначенням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прізвища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по-батькові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представника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застосовно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який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ініціює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усній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формі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анонімні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Направлені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секретарю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розглядаються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заключній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частині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після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розгляду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 xml:space="preserve">–       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відповідей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отримані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учасників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5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однієї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відповіді</w:t>
      </w:r>
      <w:proofErr w:type="spellEnd"/>
      <w:r>
        <w:rPr>
          <w:rFonts w:ascii="MyriadPro" w:hAnsi="MyriadPro"/>
          <w:color w:val="000000"/>
          <w:sz w:val="21"/>
          <w:szCs w:val="21"/>
        </w:rPr>
        <w:t>;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    Для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підрахунку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лічильною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результатів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порядку денного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надавати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10 </w:t>
      </w:r>
      <w:proofErr w:type="spellStart"/>
      <w:r>
        <w:rPr>
          <w:rFonts w:ascii="MyriadPro" w:hAnsi="MyriadPro"/>
          <w:color w:val="000000"/>
          <w:sz w:val="21"/>
          <w:szCs w:val="21"/>
        </w:rPr>
        <w:t>хвилин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одне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4: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4.  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“ХДІ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”: Свена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Ради),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Девіда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Хулліна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Ради), з 29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5: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5.1.  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кумулятивного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5.2.  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умови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цивільно-правових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5.3.  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Голову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Волкова Олександра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Васильовича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члена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заступника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Гриб Ольгу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Петрівну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підписати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>
        <w:rPr>
          <w:rFonts w:ascii="MyriadPro" w:hAnsi="MyriadPro"/>
          <w:color w:val="000000"/>
          <w:sz w:val="21"/>
          <w:szCs w:val="21"/>
        </w:rPr>
        <w:t>цивільно-правові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договори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імені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6: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6.     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“ХДІ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”: </w:t>
      </w:r>
      <w:proofErr w:type="spellStart"/>
      <w:r>
        <w:rPr>
          <w:rFonts w:ascii="MyriadPro" w:hAnsi="MyriadPro"/>
          <w:color w:val="000000"/>
          <w:sz w:val="21"/>
          <w:szCs w:val="21"/>
        </w:rPr>
        <w:t>Міхаеля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Шмідт-Розіна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(Голова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Соні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Оберхойзер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>).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7: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7.     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Призначити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кумулятивного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8: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8.     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 на: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·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«Страхова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компанія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·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Скорочене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·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англійською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</w:t>
      </w:r>
      <w:proofErr w:type="spellStart"/>
      <w:r>
        <w:rPr>
          <w:rFonts w:ascii="MyriadPro" w:hAnsi="MyriadPro"/>
          <w:color w:val="000000"/>
          <w:sz w:val="21"/>
          <w:szCs w:val="21"/>
        </w:rPr>
        <w:t>Public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Joint-Stock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Company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“</w:t>
      </w:r>
      <w:proofErr w:type="spellStart"/>
      <w:r>
        <w:rPr>
          <w:rFonts w:ascii="MyriadPro" w:hAnsi="MyriadPro"/>
          <w:color w:val="000000"/>
          <w:sz w:val="21"/>
          <w:szCs w:val="21"/>
        </w:rPr>
        <w:t>Euroins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Ukraine </w:t>
      </w:r>
      <w:proofErr w:type="spellStart"/>
      <w:r>
        <w:rPr>
          <w:rFonts w:ascii="MyriadPro" w:hAnsi="MyriadPro"/>
          <w:color w:val="000000"/>
          <w:sz w:val="21"/>
          <w:szCs w:val="21"/>
        </w:rPr>
        <w:t>Insurance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Company</w:t>
      </w:r>
      <w:proofErr w:type="spellEnd"/>
      <w:r>
        <w:rPr>
          <w:rFonts w:ascii="MyriadPro" w:hAnsi="MyriadPro"/>
          <w:color w:val="000000"/>
          <w:sz w:val="21"/>
          <w:szCs w:val="21"/>
        </w:rPr>
        <w:t>”.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· 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Скорочене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англійською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мовою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– PJSC “</w:t>
      </w:r>
      <w:proofErr w:type="spellStart"/>
      <w:r>
        <w:rPr>
          <w:rFonts w:ascii="MyriadPro" w:hAnsi="MyriadPro"/>
          <w:color w:val="000000"/>
          <w:sz w:val="21"/>
          <w:szCs w:val="21"/>
        </w:rPr>
        <w:t>Euroins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Ukraine IC”.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 9: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9.1. Внести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Cтатуту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шляхом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викладення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9.2.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Статуту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9.3.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голову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секретаря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підписати</w:t>
      </w:r>
      <w:proofErr w:type="spellEnd"/>
      <w:proofErr w:type="gram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Статуту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9.4.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Голову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виконати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всі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необхідні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дії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зв’язку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державною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реєстрацією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Статуту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чинним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, з правом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передоручення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 xml:space="preserve">З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питання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u w:val="single"/>
          <w:bdr w:val="none" w:sz="0" w:space="0" w:color="auto" w:frame="1"/>
        </w:rPr>
        <w:t> 10: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10. Внести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внутрішніх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10.1. 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зв’язку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зміною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затвердженням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Статуту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вважати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такими, </w:t>
      </w:r>
      <w:proofErr w:type="spellStart"/>
      <w:r>
        <w:rPr>
          <w:rFonts w:ascii="MyriadPro" w:hAnsi="MyriadPro"/>
          <w:color w:val="000000"/>
          <w:sz w:val="21"/>
          <w:szCs w:val="21"/>
        </w:rPr>
        <w:t>що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втратили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чинність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29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раду Приватного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Приватного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Приватного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lastRenderedPageBreak/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Приватного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Кодекс корпоративного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Приватного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10.2.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Затвердити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з 30 </w:t>
      </w:r>
      <w:proofErr w:type="spellStart"/>
      <w:r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2016 року: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Кодекс корпоративного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10.3.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Уповноважити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голову та секретаря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підписати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редакцію</w:t>
      </w:r>
      <w:proofErr w:type="spellEnd"/>
      <w:r>
        <w:rPr>
          <w:rFonts w:ascii="MyriadPro" w:hAnsi="MyriadPro"/>
          <w:color w:val="000000"/>
          <w:sz w:val="21"/>
          <w:szCs w:val="21"/>
        </w:rPr>
        <w:t>: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наглядову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раду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ревізійну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–     </w:t>
      </w:r>
      <w:proofErr w:type="spellStart"/>
      <w:r>
        <w:rPr>
          <w:rFonts w:ascii="MyriadPro" w:hAnsi="MyriadPro"/>
          <w:color w:val="000000"/>
          <w:sz w:val="21"/>
          <w:szCs w:val="21"/>
        </w:rPr>
        <w:t>Положення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загальні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збори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</w:t>
      </w:r>
    </w:p>
    <w:p w:rsidR="00CF560A" w:rsidRDefault="00CF560A" w:rsidP="00CF560A">
      <w:pPr>
        <w:pStyle w:val="a5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 xml:space="preserve">Кодекс корпоративного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управління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«СК «</w:t>
      </w:r>
      <w:proofErr w:type="spellStart"/>
      <w:r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>
        <w:rPr>
          <w:rFonts w:ascii="MyriadPro" w:hAnsi="MyriadPro"/>
          <w:color w:val="000000"/>
          <w:sz w:val="21"/>
          <w:szCs w:val="21"/>
        </w:rPr>
        <w:t>».</w:t>
      </w:r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Основні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показники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фінансово-господарської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діяльності</w:t>
      </w:r>
      <w:proofErr w:type="spellEnd"/>
    </w:p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>
        <w:rPr>
          <w:rStyle w:val="a7"/>
          <w:rFonts w:ascii="MyriadPro" w:hAnsi="MyriadPro"/>
          <w:color w:val="000000"/>
          <w:sz w:val="21"/>
          <w:szCs w:val="21"/>
          <w:bdr w:val="none" w:sz="0" w:space="0" w:color="auto" w:frame="1"/>
        </w:rPr>
        <w:t>» (тис. грн.)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8"/>
        <w:gridCol w:w="2156"/>
        <w:gridCol w:w="2156"/>
      </w:tblGrid>
      <w:tr w:rsidR="00CF560A" w:rsidTr="00CF560A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показника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Період</w:t>
            </w:r>
            <w:proofErr w:type="spellEnd"/>
          </w:p>
        </w:tc>
      </w:tr>
      <w:tr w:rsidR="00CF560A" w:rsidTr="00CF56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560A" w:rsidRDefault="00CF560A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2015 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7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2014 р.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Усього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активів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240543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268017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Основні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засоби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39230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40549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Довгострокові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фінансові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інвестиції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Запаси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280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Сумарна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дебіторська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заборгованість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21344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25666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Грошові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кошти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та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їх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еквіваленти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146717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172787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Нерозподілений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прибуток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-77617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-83158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капітал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108320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100810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Статутний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капітал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Довгострокові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зобов’язання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Поточні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зобов’язання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64112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111798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Чистий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прибуток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збиток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8563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4859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Середньорічна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7100000000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Кількість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викуплених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(шт.)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Загальна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сума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коштів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витрачених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викуп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акцій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протягом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–</w:t>
            </w:r>
          </w:p>
        </w:tc>
      </w:tr>
      <w:tr w:rsidR="00CF560A" w:rsidTr="00CF560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Чисельність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працівників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кінець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періоду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осіб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CF560A" w:rsidRDefault="00CF560A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163</w:t>
            </w:r>
          </w:p>
        </w:tc>
      </w:tr>
    </w:tbl>
    <w:p w:rsidR="00CF560A" w:rsidRDefault="00CF560A" w:rsidP="00CF560A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 xml:space="preserve">Телефон для </w:t>
      </w:r>
      <w:proofErr w:type="spellStart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довідок</w:t>
      </w:r>
      <w:proofErr w:type="spellEnd"/>
      <w:r>
        <w:rPr>
          <w:rStyle w:val="aa"/>
          <w:rFonts w:ascii="MyriadPro" w:hAnsi="MyriadPro"/>
          <w:color w:val="000000"/>
          <w:sz w:val="21"/>
          <w:szCs w:val="21"/>
          <w:bdr w:val="none" w:sz="0" w:space="0" w:color="auto" w:frame="1"/>
        </w:rPr>
        <w:t>: (044) 247-44-77</w:t>
      </w:r>
    </w:p>
    <w:p w:rsidR="001B03BC" w:rsidRPr="00CF560A" w:rsidRDefault="001B03BC" w:rsidP="00CF560A"/>
    <w:sectPr w:rsidR="001B03BC" w:rsidRPr="00CF560A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1B6820"/>
    <w:multiLevelType w:val="multilevel"/>
    <w:tmpl w:val="BC48C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0F7D54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72E0D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CF560A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55025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2E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CF56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EB329-6D1E-4C73-BE8B-84B6BE72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1784</Words>
  <Characters>10174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2021-06-30T20:55:00Z</dcterms:created>
  <dcterms:modified xsi:type="dcterms:W3CDTF">2021-06-30T20:55:00Z</dcterms:modified>
</cp:coreProperties>
</file>